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D93C2" w14:textId="77777777" w:rsidR="00B50826" w:rsidRDefault="00006AE2">
      <w:pPr>
        <w:jc w:val="center"/>
        <w:rPr>
          <w:rFonts w:ascii="Arial" w:eastAsia="Arial" w:hAnsi="Arial" w:cs="Arial"/>
          <w:color w:val="002060"/>
        </w:rPr>
      </w:pPr>
      <w:r>
        <w:rPr>
          <w:noProof/>
        </w:rPr>
        <w:drawing>
          <wp:inline distT="114300" distB="114300" distL="114300" distR="114300" wp14:anchorId="3433D887" wp14:editId="4406817E">
            <wp:extent cx="2833370" cy="929640"/>
            <wp:effectExtent l="0" t="0" r="0" b="0"/>
            <wp:docPr id="24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833688" cy="929804"/>
                    </a:xfrm>
                    <a:prstGeom prst="rect">
                      <a:avLst/>
                    </a:prstGeom>
                    <a:ln/>
                  </pic:spPr>
                </pic:pic>
              </a:graphicData>
            </a:graphic>
          </wp:inline>
        </w:drawing>
      </w:r>
    </w:p>
    <w:p w14:paraId="565A6D2A" w14:textId="77777777" w:rsidR="00B50826" w:rsidRDefault="00B50826">
      <w:pPr>
        <w:jc w:val="center"/>
        <w:rPr>
          <w:rFonts w:ascii="Arial" w:eastAsia="Arial" w:hAnsi="Arial" w:cs="Arial"/>
          <w:b/>
          <w:color w:val="002060"/>
          <w:sz w:val="40"/>
          <w:szCs w:val="40"/>
        </w:rPr>
      </w:pPr>
    </w:p>
    <w:p w14:paraId="661ACF7A" w14:textId="77777777" w:rsidR="00B50826" w:rsidRDefault="00B50826">
      <w:pPr>
        <w:jc w:val="center"/>
        <w:rPr>
          <w:rFonts w:ascii="Arial" w:eastAsia="Arial" w:hAnsi="Arial" w:cs="Arial"/>
          <w:b/>
          <w:color w:val="002060"/>
          <w:sz w:val="40"/>
          <w:szCs w:val="40"/>
        </w:rPr>
      </w:pPr>
    </w:p>
    <w:p w14:paraId="2D9678C0" w14:textId="77777777" w:rsidR="00B50826" w:rsidRDefault="00006AE2">
      <w:pPr>
        <w:jc w:val="center"/>
        <w:rPr>
          <w:rFonts w:ascii="Arial" w:eastAsia="Arial" w:hAnsi="Arial" w:cs="Arial"/>
          <w:b/>
          <w:color w:val="002060"/>
          <w:sz w:val="40"/>
          <w:szCs w:val="40"/>
        </w:rPr>
      </w:pPr>
      <w:r>
        <w:rPr>
          <w:rFonts w:ascii="Arial" w:eastAsia="Arial" w:hAnsi="Arial" w:cs="Arial"/>
          <w:b/>
          <w:color w:val="002060"/>
          <w:sz w:val="40"/>
          <w:szCs w:val="40"/>
        </w:rPr>
        <w:t>Estrategia Regional de Desarrollo Rural Bajo en Emisiones de Huánuco</w:t>
      </w:r>
    </w:p>
    <w:p w14:paraId="00A33A24" w14:textId="77777777" w:rsidR="00B50826" w:rsidRDefault="00B50826">
      <w:pPr>
        <w:jc w:val="center"/>
        <w:rPr>
          <w:rFonts w:ascii="Arial" w:eastAsia="Arial" w:hAnsi="Arial" w:cs="Arial"/>
          <w:b/>
          <w:color w:val="002060"/>
          <w:sz w:val="28"/>
          <w:szCs w:val="28"/>
        </w:rPr>
      </w:pPr>
    </w:p>
    <w:p w14:paraId="10FA2922" w14:textId="77777777" w:rsidR="00B50826" w:rsidRDefault="00006AE2">
      <w:pPr>
        <w:jc w:val="center"/>
        <w:rPr>
          <w:rFonts w:ascii="Caveat" w:eastAsia="Caveat" w:hAnsi="Caveat" w:cs="Caveat"/>
          <w:b/>
          <w:color w:val="002060"/>
          <w:sz w:val="36"/>
          <w:szCs w:val="36"/>
        </w:rPr>
      </w:pPr>
      <w:r>
        <w:rPr>
          <w:rFonts w:ascii="Caveat" w:eastAsia="Caveat" w:hAnsi="Caveat" w:cs="Caveat"/>
          <w:b/>
          <w:color w:val="002060"/>
          <w:sz w:val="36"/>
          <w:szCs w:val="36"/>
        </w:rPr>
        <w:t>Bienestar, producción sostenible y conservación de nuestros bosques para todos y todas</w:t>
      </w:r>
    </w:p>
    <w:p w14:paraId="6808BDB7" w14:textId="77777777" w:rsidR="00B50826" w:rsidRDefault="00B50826">
      <w:pPr>
        <w:rPr>
          <w:color w:val="002060"/>
        </w:rPr>
      </w:pPr>
    </w:p>
    <w:p w14:paraId="3262FBF2" w14:textId="77777777" w:rsidR="00B50826" w:rsidRDefault="00B50826">
      <w:pPr>
        <w:rPr>
          <w:color w:val="002060"/>
        </w:rPr>
      </w:pPr>
    </w:p>
    <w:p w14:paraId="1A6848A2" w14:textId="77777777" w:rsidR="00B50826" w:rsidRDefault="00006AE2">
      <w:pPr>
        <w:ind w:hanging="425"/>
        <w:rPr>
          <w:color w:val="002060"/>
        </w:rPr>
      </w:pPr>
      <w:r>
        <w:rPr>
          <w:noProof/>
        </w:rPr>
        <w:drawing>
          <wp:inline distT="114300" distB="114300" distL="114300" distR="114300" wp14:anchorId="48A29F6E" wp14:editId="21CB24F1">
            <wp:extent cx="5882005" cy="2946400"/>
            <wp:effectExtent l="0" t="0" r="0" b="0"/>
            <wp:docPr id="25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5882425" cy="2946400"/>
                    </a:xfrm>
                    <a:prstGeom prst="rect">
                      <a:avLst/>
                    </a:prstGeom>
                    <a:ln/>
                  </pic:spPr>
                </pic:pic>
              </a:graphicData>
            </a:graphic>
          </wp:inline>
        </w:drawing>
      </w:r>
    </w:p>
    <w:p w14:paraId="2DB740E6" w14:textId="77777777" w:rsidR="00B50826" w:rsidRDefault="00B50826">
      <w:pPr>
        <w:rPr>
          <w:color w:val="002060"/>
        </w:rPr>
      </w:pPr>
    </w:p>
    <w:p w14:paraId="6A418D6C" w14:textId="77777777" w:rsidR="00B50826" w:rsidRDefault="00B50826">
      <w:pPr>
        <w:rPr>
          <w:color w:val="002060"/>
        </w:rPr>
      </w:pPr>
    </w:p>
    <w:p w14:paraId="6FDB4837" w14:textId="77777777" w:rsidR="00B50826" w:rsidRDefault="00006AE2">
      <w:pPr>
        <w:jc w:val="center"/>
        <w:rPr>
          <w:rFonts w:ascii="Arial" w:eastAsia="Arial" w:hAnsi="Arial" w:cs="Arial"/>
          <w:b/>
          <w:color w:val="002060"/>
          <w:sz w:val="28"/>
          <w:szCs w:val="28"/>
        </w:rPr>
      </w:pPr>
      <w:r>
        <w:rPr>
          <w:rFonts w:ascii="Arial" w:eastAsia="Arial" w:hAnsi="Arial" w:cs="Arial"/>
          <w:b/>
          <w:color w:val="002060"/>
          <w:sz w:val="28"/>
          <w:szCs w:val="28"/>
        </w:rPr>
        <w:t xml:space="preserve">Versión Preliminar </w:t>
      </w:r>
    </w:p>
    <w:p w14:paraId="4A6E59F8" w14:textId="77777777" w:rsidR="00B50826" w:rsidRDefault="00B50826">
      <w:pPr>
        <w:rPr>
          <w:color w:val="002060"/>
        </w:rPr>
      </w:pPr>
    </w:p>
    <w:p w14:paraId="067E5FD4" w14:textId="77777777" w:rsidR="00B50826" w:rsidRDefault="00B50826">
      <w:pPr>
        <w:rPr>
          <w:color w:val="002060"/>
        </w:rPr>
      </w:pPr>
    </w:p>
    <w:p w14:paraId="392F0E99" w14:textId="77777777" w:rsidR="00B50826" w:rsidRDefault="00B50826">
      <w:pPr>
        <w:rPr>
          <w:color w:val="002060"/>
        </w:rPr>
      </w:pPr>
    </w:p>
    <w:p w14:paraId="5D4FE177" w14:textId="77777777" w:rsidR="00B50826" w:rsidRDefault="00B50826">
      <w:pPr>
        <w:rPr>
          <w:color w:val="002060"/>
        </w:rPr>
      </w:pPr>
    </w:p>
    <w:p w14:paraId="5C8982EC" w14:textId="77777777" w:rsidR="00B50826" w:rsidRDefault="00006AE2">
      <w:pPr>
        <w:jc w:val="center"/>
        <w:rPr>
          <w:rFonts w:ascii="Arial" w:eastAsia="Arial" w:hAnsi="Arial" w:cs="Arial"/>
          <w:b/>
          <w:color w:val="002060"/>
          <w:sz w:val="28"/>
          <w:szCs w:val="28"/>
        </w:rPr>
      </w:pPr>
      <w:r>
        <w:rPr>
          <w:rFonts w:ascii="Arial" w:eastAsia="Arial" w:hAnsi="Arial" w:cs="Arial"/>
          <w:b/>
          <w:color w:val="002060"/>
          <w:sz w:val="28"/>
          <w:szCs w:val="28"/>
        </w:rPr>
        <w:t xml:space="preserve">Huánuco – </w:t>
      </w:r>
      <w:proofErr w:type="gramStart"/>
      <w:r>
        <w:rPr>
          <w:rFonts w:ascii="Arial" w:eastAsia="Arial" w:hAnsi="Arial" w:cs="Arial"/>
          <w:b/>
          <w:color w:val="002060"/>
          <w:sz w:val="28"/>
          <w:szCs w:val="28"/>
        </w:rPr>
        <w:t>Mayo</w:t>
      </w:r>
      <w:proofErr w:type="gramEnd"/>
      <w:r>
        <w:rPr>
          <w:rFonts w:ascii="Arial" w:eastAsia="Arial" w:hAnsi="Arial" w:cs="Arial"/>
          <w:b/>
          <w:color w:val="002060"/>
          <w:sz w:val="28"/>
          <w:szCs w:val="28"/>
        </w:rPr>
        <w:t xml:space="preserve"> de 2020 </w:t>
      </w:r>
    </w:p>
    <w:p w14:paraId="227078C5" w14:textId="77777777" w:rsidR="00B50826" w:rsidRDefault="00B50826">
      <w:pPr>
        <w:rPr>
          <w:color w:val="002060"/>
        </w:rPr>
      </w:pPr>
    </w:p>
    <w:p w14:paraId="4FD5D9A9" w14:textId="77777777" w:rsidR="00B50826" w:rsidRDefault="00B50826">
      <w:pPr>
        <w:rPr>
          <w:color w:val="002060"/>
        </w:rPr>
      </w:pPr>
    </w:p>
    <w:p w14:paraId="5A0BF5CB" w14:textId="77777777" w:rsidR="00B50826" w:rsidRDefault="00B50826">
      <w:pPr>
        <w:rPr>
          <w:color w:val="002060"/>
        </w:rPr>
      </w:pPr>
    </w:p>
    <w:p w14:paraId="17E15EF1" w14:textId="77777777" w:rsidR="00B50826" w:rsidRDefault="00B50826">
      <w:pPr>
        <w:rPr>
          <w:color w:val="002060"/>
        </w:rPr>
      </w:pPr>
    </w:p>
    <w:p w14:paraId="3C03F022" w14:textId="77777777" w:rsidR="00B50826" w:rsidRDefault="00B50826">
      <w:pPr>
        <w:rPr>
          <w:color w:val="002060"/>
        </w:rPr>
      </w:pPr>
    </w:p>
    <w:p w14:paraId="7E20251C" w14:textId="77777777" w:rsidR="00B50826" w:rsidRDefault="00B50826">
      <w:pPr>
        <w:rPr>
          <w:color w:val="002060"/>
        </w:rPr>
      </w:pPr>
    </w:p>
    <w:p w14:paraId="323C9E6E" w14:textId="77777777" w:rsidR="00B50826" w:rsidRDefault="00B50826">
      <w:pPr>
        <w:rPr>
          <w:color w:val="002060"/>
        </w:rPr>
      </w:pPr>
    </w:p>
    <w:p w14:paraId="5A96B428" w14:textId="77777777" w:rsidR="00B50826" w:rsidRDefault="00006AE2">
      <w:pPr>
        <w:rPr>
          <w:rFonts w:ascii="Arial" w:eastAsia="Arial" w:hAnsi="Arial" w:cs="Arial"/>
          <w:b/>
          <w:color w:val="002060"/>
          <w:sz w:val="20"/>
          <w:szCs w:val="20"/>
        </w:rPr>
      </w:pPr>
      <w:bookmarkStart w:id="0" w:name="_heading=h.1cur5hgmt1b7" w:colFirst="0" w:colLast="0"/>
      <w:bookmarkEnd w:id="0"/>
      <w:r>
        <w:rPr>
          <w:noProof/>
        </w:rPr>
        <w:lastRenderedPageBreak/>
        <w:drawing>
          <wp:inline distT="114300" distB="114300" distL="114300" distR="114300" wp14:anchorId="0954ED33" wp14:editId="1A1C611F">
            <wp:extent cx="1669415" cy="553085"/>
            <wp:effectExtent l="0" t="0" r="0" b="0"/>
            <wp:docPr id="24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1669415" cy="553119"/>
                    </a:xfrm>
                    <a:prstGeom prst="rect">
                      <a:avLst/>
                    </a:prstGeom>
                    <a:ln/>
                  </pic:spPr>
                </pic:pic>
              </a:graphicData>
            </a:graphic>
          </wp:inline>
        </w:drawing>
      </w:r>
    </w:p>
    <w:p w14:paraId="628A4655" w14:textId="77777777" w:rsidR="00B50826" w:rsidRDefault="00B50826">
      <w:pPr>
        <w:rPr>
          <w:rFonts w:ascii="Arial" w:eastAsia="Arial" w:hAnsi="Arial" w:cs="Arial"/>
          <w:color w:val="002060"/>
          <w:sz w:val="20"/>
          <w:szCs w:val="20"/>
        </w:rPr>
      </w:pPr>
    </w:p>
    <w:p w14:paraId="6DB928FB" w14:textId="77777777" w:rsidR="00B50826" w:rsidRDefault="00006AE2">
      <w:pPr>
        <w:rPr>
          <w:rFonts w:ascii="Arial" w:eastAsia="Arial" w:hAnsi="Arial" w:cs="Arial"/>
          <w:b/>
          <w:color w:val="002060"/>
          <w:sz w:val="18"/>
          <w:szCs w:val="18"/>
        </w:rPr>
      </w:pPr>
      <w:r>
        <w:rPr>
          <w:rFonts w:ascii="Arial" w:eastAsia="Arial" w:hAnsi="Arial" w:cs="Arial"/>
          <w:color w:val="002060"/>
          <w:sz w:val="18"/>
          <w:szCs w:val="18"/>
        </w:rPr>
        <w:t>Documento elaborado por el Gobierno Regional de Huánuco con el soporte de:</w:t>
      </w:r>
    </w:p>
    <w:p w14:paraId="736619EB" w14:textId="77777777" w:rsidR="00B50826" w:rsidRDefault="00B50826">
      <w:pPr>
        <w:rPr>
          <w:rFonts w:ascii="Arial" w:eastAsia="Arial" w:hAnsi="Arial" w:cs="Arial"/>
          <w:i/>
          <w:color w:val="002060"/>
          <w:sz w:val="18"/>
          <w:szCs w:val="18"/>
        </w:rPr>
      </w:pPr>
    </w:p>
    <w:p w14:paraId="2EFD4C93" w14:textId="77777777" w:rsidR="00B50826" w:rsidRDefault="00006AE2">
      <w:pPr>
        <w:jc w:val="both"/>
        <w:rPr>
          <w:rFonts w:ascii="Arial" w:eastAsia="Arial" w:hAnsi="Arial" w:cs="Arial"/>
          <w:i/>
          <w:color w:val="002060"/>
          <w:sz w:val="18"/>
          <w:szCs w:val="18"/>
        </w:rPr>
      </w:pPr>
      <w:r>
        <w:rPr>
          <w:rFonts w:ascii="Arial" w:eastAsia="Arial" w:hAnsi="Arial" w:cs="Arial"/>
          <w:i/>
          <w:color w:val="002060"/>
          <w:sz w:val="18"/>
          <w:szCs w:val="18"/>
        </w:rPr>
        <w:t>Proyecto “Concertando el desarrollo rural bajo en emisiones: diseño participativo de una estrategia y plan de inversiones para promover el desarrollo rural bajo en emisiones y reducir la deforestación en la Región Huánuco”</w:t>
      </w:r>
    </w:p>
    <w:p w14:paraId="466F7526" w14:textId="77777777" w:rsidR="00B50826" w:rsidRDefault="00B50826">
      <w:pPr>
        <w:rPr>
          <w:rFonts w:ascii="Arial" w:eastAsia="Arial" w:hAnsi="Arial" w:cs="Arial"/>
          <w:i/>
          <w:color w:val="002060"/>
          <w:sz w:val="18"/>
          <w:szCs w:val="18"/>
        </w:rPr>
      </w:pPr>
    </w:p>
    <w:p w14:paraId="3CEE132A" w14:textId="77777777" w:rsidR="00B50826" w:rsidRDefault="00006AE2">
      <w:pPr>
        <w:jc w:val="both"/>
        <w:rPr>
          <w:rFonts w:ascii="Arial" w:eastAsia="Arial" w:hAnsi="Arial" w:cs="Arial"/>
          <w:i/>
          <w:color w:val="002060"/>
          <w:sz w:val="18"/>
          <w:szCs w:val="18"/>
        </w:rPr>
      </w:pPr>
      <w:r>
        <w:rPr>
          <w:rFonts w:ascii="Arial" w:eastAsia="Arial" w:hAnsi="Arial" w:cs="Arial"/>
          <w:i/>
          <w:color w:val="002060"/>
          <w:sz w:val="18"/>
          <w:szCs w:val="18"/>
        </w:rPr>
        <w:t xml:space="preserve">Proyecto “Implementando estrategias para una transición regional a un desarrollo bajo en emisiones en Indonesia, Perú, México y </w:t>
      </w:r>
      <w:proofErr w:type="spellStart"/>
      <w:r>
        <w:rPr>
          <w:rFonts w:ascii="Arial" w:eastAsia="Arial" w:hAnsi="Arial" w:cs="Arial"/>
          <w:i/>
          <w:color w:val="002060"/>
          <w:sz w:val="18"/>
          <w:szCs w:val="18"/>
        </w:rPr>
        <w:t>Kenya</w:t>
      </w:r>
      <w:proofErr w:type="spellEnd"/>
      <w:r>
        <w:rPr>
          <w:rFonts w:ascii="Arial" w:eastAsia="Arial" w:hAnsi="Arial" w:cs="Arial"/>
          <w:i/>
          <w:color w:val="002060"/>
          <w:sz w:val="18"/>
          <w:szCs w:val="18"/>
        </w:rPr>
        <w:t>”</w:t>
      </w:r>
    </w:p>
    <w:p w14:paraId="1461FC5D" w14:textId="77777777" w:rsidR="00097513" w:rsidRDefault="00097513">
      <w:pPr>
        <w:rPr>
          <w:rFonts w:ascii="Arial" w:eastAsia="Arial" w:hAnsi="Arial" w:cs="Arial"/>
          <w:color w:val="002060"/>
          <w:sz w:val="18"/>
          <w:szCs w:val="18"/>
        </w:rPr>
      </w:pPr>
    </w:p>
    <w:p w14:paraId="0E1B47EA" w14:textId="77777777" w:rsidR="00B50826" w:rsidRDefault="00006AE2">
      <w:pPr>
        <w:rPr>
          <w:rFonts w:ascii="Arial" w:eastAsia="Arial" w:hAnsi="Arial" w:cs="Arial"/>
          <w:i/>
          <w:color w:val="002060"/>
          <w:sz w:val="18"/>
          <w:szCs w:val="18"/>
        </w:rPr>
      </w:pPr>
      <w:r>
        <w:rPr>
          <w:rFonts w:ascii="Arial" w:eastAsia="Arial" w:hAnsi="Arial" w:cs="Arial"/>
          <w:color w:val="002060"/>
          <w:sz w:val="18"/>
          <w:szCs w:val="18"/>
        </w:rPr>
        <w:t xml:space="preserve">Proyecto </w:t>
      </w:r>
      <w:r>
        <w:rPr>
          <w:rFonts w:ascii="Arial" w:eastAsia="Arial" w:hAnsi="Arial" w:cs="Arial"/>
          <w:i/>
          <w:color w:val="002060"/>
          <w:sz w:val="18"/>
          <w:szCs w:val="18"/>
        </w:rPr>
        <w:t xml:space="preserve">“Proyecto Bosques, Fincas y Finanzas” </w:t>
      </w:r>
    </w:p>
    <w:p w14:paraId="47A2A477" w14:textId="77777777" w:rsidR="00B50826" w:rsidRDefault="00B50826">
      <w:pPr>
        <w:rPr>
          <w:rFonts w:ascii="Arial" w:eastAsia="Arial" w:hAnsi="Arial" w:cs="Arial"/>
          <w:color w:val="002060"/>
          <w:sz w:val="18"/>
          <w:szCs w:val="18"/>
        </w:rPr>
      </w:pPr>
    </w:p>
    <w:p w14:paraId="458C3582" w14:textId="77777777" w:rsidR="00B50826" w:rsidRDefault="00006AE2">
      <w:pPr>
        <w:rPr>
          <w:rFonts w:ascii="Arial" w:eastAsia="Arial" w:hAnsi="Arial" w:cs="Arial"/>
          <w:b/>
          <w:color w:val="002060"/>
          <w:sz w:val="18"/>
          <w:szCs w:val="18"/>
        </w:rPr>
      </w:pPr>
      <w:r>
        <w:rPr>
          <w:rFonts w:ascii="Arial" w:eastAsia="Arial" w:hAnsi="Arial" w:cs="Arial"/>
          <w:b/>
          <w:color w:val="002060"/>
          <w:sz w:val="18"/>
          <w:szCs w:val="18"/>
        </w:rPr>
        <w:t>Contenidos:</w:t>
      </w:r>
    </w:p>
    <w:p w14:paraId="2EED929F"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Carlos Balcázar Labrín</w:t>
      </w:r>
    </w:p>
    <w:p w14:paraId="6B1EA1CB" w14:textId="77777777" w:rsidR="00B50826" w:rsidRDefault="00006AE2">
      <w:pPr>
        <w:rPr>
          <w:rFonts w:ascii="Arial" w:eastAsia="Arial" w:hAnsi="Arial" w:cs="Arial"/>
          <w:color w:val="002060"/>
          <w:sz w:val="18"/>
          <w:szCs w:val="18"/>
        </w:rPr>
      </w:pPr>
      <w:proofErr w:type="spellStart"/>
      <w:r>
        <w:rPr>
          <w:rFonts w:ascii="Arial" w:eastAsia="Arial" w:hAnsi="Arial" w:cs="Arial"/>
          <w:color w:val="002060"/>
          <w:sz w:val="18"/>
          <w:szCs w:val="18"/>
        </w:rPr>
        <w:t>Jose</w:t>
      </w:r>
      <w:proofErr w:type="spellEnd"/>
      <w:r>
        <w:rPr>
          <w:rFonts w:ascii="Arial" w:eastAsia="Arial" w:hAnsi="Arial" w:cs="Arial"/>
          <w:color w:val="002060"/>
          <w:sz w:val="18"/>
          <w:szCs w:val="18"/>
        </w:rPr>
        <w:t xml:space="preserve"> Antonio Muñoz Cárdenas </w:t>
      </w:r>
    </w:p>
    <w:p w14:paraId="1131E641"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Gustavo Suarez de Freitas</w:t>
      </w:r>
    </w:p>
    <w:p w14:paraId="425B08AE"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 xml:space="preserve">Patricia Luna del Pozo </w:t>
      </w:r>
    </w:p>
    <w:p w14:paraId="3968D679"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Eduardo Bedoya Garland</w:t>
      </w:r>
    </w:p>
    <w:p w14:paraId="05F8C2F1" w14:textId="77777777" w:rsidR="00B50826" w:rsidRDefault="00E427E5">
      <w:pPr>
        <w:rPr>
          <w:rFonts w:ascii="Arial" w:eastAsia="Arial" w:hAnsi="Arial" w:cs="Arial"/>
          <w:color w:val="002060"/>
          <w:sz w:val="18"/>
          <w:szCs w:val="18"/>
        </w:rPr>
      </w:pPr>
      <w:r>
        <w:rPr>
          <w:rFonts w:ascii="Arial" w:eastAsia="Arial" w:hAnsi="Arial" w:cs="Arial"/>
          <w:color w:val="002060"/>
          <w:sz w:val="18"/>
          <w:szCs w:val="18"/>
        </w:rPr>
        <w:t>……</w:t>
      </w:r>
    </w:p>
    <w:p w14:paraId="335B4901" w14:textId="77777777" w:rsidR="00E427E5" w:rsidRDefault="00E427E5">
      <w:pPr>
        <w:rPr>
          <w:rFonts w:ascii="Arial" w:eastAsia="Arial" w:hAnsi="Arial" w:cs="Arial"/>
          <w:color w:val="002060"/>
          <w:sz w:val="18"/>
          <w:szCs w:val="18"/>
        </w:rPr>
      </w:pPr>
    </w:p>
    <w:p w14:paraId="500C80B5" w14:textId="77777777" w:rsidR="00B50826" w:rsidRDefault="00006AE2">
      <w:pPr>
        <w:rPr>
          <w:rFonts w:ascii="Arial" w:eastAsia="Arial" w:hAnsi="Arial" w:cs="Arial"/>
          <w:b/>
          <w:color w:val="002060"/>
          <w:sz w:val="18"/>
          <w:szCs w:val="18"/>
          <w:highlight w:val="yellow"/>
        </w:rPr>
      </w:pPr>
      <w:r>
        <w:rPr>
          <w:rFonts w:ascii="Arial" w:eastAsia="Arial" w:hAnsi="Arial" w:cs="Arial"/>
          <w:b/>
          <w:color w:val="002060"/>
          <w:sz w:val="18"/>
          <w:szCs w:val="18"/>
          <w:highlight w:val="yellow"/>
        </w:rPr>
        <w:t xml:space="preserve">Equipo técnico Regional </w:t>
      </w:r>
    </w:p>
    <w:p w14:paraId="0AB27553"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Gerente General Regional CPC.</w:t>
      </w:r>
      <w:r>
        <w:rPr>
          <w:rFonts w:ascii="Arial" w:eastAsia="Arial" w:hAnsi="Arial" w:cs="Arial"/>
          <w:color w:val="002060"/>
          <w:sz w:val="18"/>
          <w:szCs w:val="18"/>
        </w:rPr>
        <w:t>: L</w:t>
      </w:r>
      <w:r w:rsidRPr="008A10E1">
        <w:rPr>
          <w:rFonts w:ascii="Arial" w:eastAsia="Arial" w:hAnsi="Arial" w:cs="Arial"/>
          <w:color w:val="002060"/>
          <w:sz w:val="18"/>
          <w:szCs w:val="18"/>
        </w:rPr>
        <w:t xml:space="preserve">uís Briceño Jara </w:t>
      </w:r>
    </w:p>
    <w:p w14:paraId="7B4BB542"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 xml:space="preserve">Gerente Regional de RRNN y Gestión Ambiental Ing. Silvia </w:t>
      </w:r>
      <w:proofErr w:type="spellStart"/>
      <w:r w:rsidRPr="008A10E1">
        <w:rPr>
          <w:rFonts w:ascii="Arial" w:eastAsia="Arial" w:hAnsi="Arial" w:cs="Arial"/>
          <w:color w:val="002060"/>
          <w:sz w:val="18"/>
          <w:szCs w:val="18"/>
        </w:rPr>
        <w:t>Sullca</w:t>
      </w:r>
      <w:proofErr w:type="spellEnd"/>
      <w:r w:rsidRPr="008A10E1">
        <w:rPr>
          <w:rFonts w:ascii="Arial" w:eastAsia="Arial" w:hAnsi="Arial" w:cs="Arial"/>
          <w:color w:val="002060"/>
          <w:sz w:val="18"/>
          <w:szCs w:val="18"/>
        </w:rPr>
        <w:t xml:space="preserve"> Parra</w:t>
      </w:r>
    </w:p>
    <w:p w14:paraId="2275A974"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Gerente Regional de Desarrollo Económico Ing. Juan Moncada Alvites</w:t>
      </w:r>
    </w:p>
    <w:p w14:paraId="16F28004"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 xml:space="preserve">Gerente Regional de </w:t>
      </w:r>
      <w:proofErr w:type="spellStart"/>
      <w:r w:rsidRPr="008A10E1">
        <w:rPr>
          <w:rFonts w:ascii="Arial" w:eastAsia="Arial" w:hAnsi="Arial" w:cs="Arial"/>
          <w:color w:val="002060"/>
          <w:sz w:val="18"/>
          <w:szCs w:val="18"/>
        </w:rPr>
        <w:t>Planificacion</w:t>
      </w:r>
      <w:proofErr w:type="spellEnd"/>
      <w:r w:rsidRPr="008A10E1">
        <w:rPr>
          <w:rFonts w:ascii="Arial" w:eastAsia="Arial" w:hAnsi="Arial" w:cs="Arial"/>
          <w:color w:val="002060"/>
          <w:sz w:val="18"/>
          <w:szCs w:val="18"/>
        </w:rPr>
        <w:t xml:space="preserve">, </w:t>
      </w:r>
      <w:proofErr w:type="spellStart"/>
      <w:r w:rsidRPr="008A10E1">
        <w:rPr>
          <w:rFonts w:ascii="Arial" w:eastAsia="Arial" w:hAnsi="Arial" w:cs="Arial"/>
          <w:color w:val="002060"/>
          <w:sz w:val="18"/>
          <w:szCs w:val="18"/>
        </w:rPr>
        <w:t>Ppto</w:t>
      </w:r>
      <w:proofErr w:type="spellEnd"/>
      <w:r w:rsidRPr="008A10E1">
        <w:rPr>
          <w:rFonts w:ascii="Arial" w:eastAsia="Arial" w:hAnsi="Arial" w:cs="Arial"/>
          <w:color w:val="002060"/>
          <w:sz w:val="18"/>
          <w:szCs w:val="18"/>
        </w:rPr>
        <w:t xml:space="preserve"> y Acondicionamiento Regional Econ. Graciela Alcedo Guillermo</w:t>
      </w:r>
      <w:r>
        <w:rPr>
          <w:rFonts w:ascii="Arial" w:eastAsia="Arial" w:hAnsi="Arial" w:cs="Arial"/>
          <w:color w:val="002060"/>
          <w:sz w:val="18"/>
          <w:szCs w:val="18"/>
        </w:rPr>
        <w:t>.</w:t>
      </w:r>
      <w:r w:rsidRPr="008A10E1">
        <w:rPr>
          <w:rFonts w:ascii="Arial" w:eastAsia="Arial" w:hAnsi="Arial" w:cs="Arial"/>
          <w:color w:val="002060"/>
          <w:sz w:val="18"/>
          <w:szCs w:val="18"/>
        </w:rPr>
        <w:t xml:space="preserve"> Gerente Regional de Desarrollo Social Lic. Luz Rodr</w:t>
      </w:r>
      <w:r w:rsidR="00E427E5">
        <w:rPr>
          <w:rFonts w:ascii="Arial" w:eastAsia="Arial" w:hAnsi="Arial" w:cs="Arial"/>
          <w:color w:val="002060"/>
          <w:sz w:val="18"/>
          <w:szCs w:val="18"/>
        </w:rPr>
        <w:t>í</w:t>
      </w:r>
      <w:r w:rsidRPr="008A10E1">
        <w:rPr>
          <w:rFonts w:ascii="Arial" w:eastAsia="Arial" w:hAnsi="Arial" w:cs="Arial"/>
          <w:color w:val="002060"/>
          <w:sz w:val="18"/>
          <w:szCs w:val="18"/>
        </w:rPr>
        <w:t>guez</w:t>
      </w:r>
    </w:p>
    <w:p w14:paraId="7025C7C2"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 xml:space="preserve">Director Regional de Agricultura </w:t>
      </w:r>
      <w:proofErr w:type="gramStart"/>
      <w:r w:rsidRPr="008A10E1">
        <w:rPr>
          <w:rFonts w:ascii="Arial" w:eastAsia="Arial" w:hAnsi="Arial" w:cs="Arial"/>
          <w:color w:val="002060"/>
          <w:sz w:val="18"/>
          <w:szCs w:val="18"/>
        </w:rPr>
        <w:t>-  Ing.</w:t>
      </w:r>
      <w:proofErr w:type="gramEnd"/>
      <w:r w:rsidRPr="008A10E1">
        <w:rPr>
          <w:rFonts w:ascii="Arial" w:eastAsia="Arial" w:hAnsi="Arial" w:cs="Arial"/>
          <w:color w:val="002060"/>
          <w:sz w:val="18"/>
          <w:szCs w:val="18"/>
        </w:rPr>
        <w:t xml:space="preserve"> Henrry Murrieta Lozano</w:t>
      </w:r>
    </w:p>
    <w:p w14:paraId="746D410E"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Director Regional de Producci</w:t>
      </w:r>
      <w:r>
        <w:rPr>
          <w:rFonts w:ascii="Arial" w:eastAsia="Arial" w:hAnsi="Arial" w:cs="Arial"/>
          <w:color w:val="002060"/>
          <w:sz w:val="18"/>
          <w:szCs w:val="18"/>
        </w:rPr>
        <w:t>ó</w:t>
      </w:r>
      <w:r w:rsidRPr="008A10E1">
        <w:rPr>
          <w:rFonts w:ascii="Arial" w:eastAsia="Arial" w:hAnsi="Arial" w:cs="Arial"/>
          <w:color w:val="002060"/>
          <w:sz w:val="18"/>
          <w:szCs w:val="18"/>
        </w:rPr>
        <w:t xml:space="preserve">n Ing. Marco </w:t>
      </w:r>
      <w:proofErr w:type="spellStart"/>
      <w:r w:rsidRPr="008A10E1">
        <w:rPr>
          <w:rFonts w:ascii="Arial" w:eastAsia="Arial" w:hAnsi="Arial" w:cs="Arial"/>
          <w:color w:val="002060"/>
          <w:sz w:val="18"/>
          <w:szCs w:val="18"/>
        </w:rPr>
        <w:t>Jave</w:t>
      </w:r>
      <w:proofErr w:type="spellEnd"/>
      <w:r w:rsidRPr="008A10E1">
        <w:rPr>
          <w:rFonts w:ascii="Arial" w:eastAsia="Arial" w:hAnsi="Arial" w:cs="Arial"/>
          <w:color w:val="002060"/>
          <w:sz w:val="18"/>
          <w:szCs w:val="18"/>
        </w:rPr>
        <w:t xml:space="preserve"> </w:t>
      </w:r>
      <w:proofErr w:type="spellStart"/>
      <w:r w:rsidRPr="008A10E1">
        <w:rPr>
          <w:rFonts w:ascii="Arial" w:eastAsia="Arial" w:hAnsi="Arial" w:cs="Arial"/>
          <w:color w:val="002060"/>
          <w:sz w:val="18"/>
          <w:szCs w:val="18"/>
        </w:rPr>
        <w:t>Cardich</w:t>
      </w:r>
      <w:proofErr w:type="spellEnd"/>
      <w:r w:rsidRPr="008A10E1">
        <w:rPr>
          <w:rFonts w:ascii="Arial" w:eastAsia="Arial" w:hAnsi="Arial" w:cs="Arial"/>
          <w:color w:val="002060"/>
          <w:sz w:val="18"/>
          <w:szCs w:val="18"/>
        </w:rPr>
        <w:t>,</w:t>
      </w:r>
    </w:p>
    <w:p w14:paraId="1E659F5D" w14:textId="77777777" w:rsidR="008A10E1" w:rsidRDefault="008A10E1" w:rsidP="008A10E1">
      <w:pPr>
        <w:rPr>
          <w:rFonts w:ascii="Arial" w:eastAsia="Arial" w:hAnsi="Arial" w:cs="Arial"/>
          <w:color w:val="002060"/>
          <w:sz w:val="18"/>
          <w:szCs w:val="18"/>
        </w:rPr>
      </w:pPr>
      <w:r w:rsidRPr="008A10E1">
        <w:rPr>
          <w:rFonts w:ascii="Arial" w:eastAsia="Arial" w:hAnsi="Arial" w:cs="Arial"/>
          <w:color w:val="002060"/>
          <w:sz w:val="18"/>
          <w:szCs w:val="18"/>
        </w:rPr>
        <w:t>Director Regional de Turismo y Comercio Exterior Lic. Luis Flores Katayama.</w:t>
      </w:r>
    </w:p>
    <w:p w14:paraId="3B9F6E34" w14:textId="77777777" w:rsidR="008A10E1" w:rsidRDefault="008A10E1">
      <w:pPr>
        <w:rPr>
          <w:rFonts w:ascii="Arial" w:eastAsia="Arial" w:hAnsi="Arial" w:cs="Arial"/>
          <w:color w:val="002060"/>
          <w:sz w:val="18"/>
          <w:szCs w:val="18"/>
        </w:rPr>
      </w:pPr>
    </w:p>
    <w:p w14:paraId="6E539C4D" w14:textId="77777777" w:rsidR="00B50826" w:rsidRDefault="00006AE2">
      <w:pPr>
        <w:rPr>
          <w:rFonts w:ascii="Arial" w:eastAsia="Arial" w:hAnsi="Arial" w:cs="Arial"/>
          <w:b/>
          <w:color w:val="002060"/>
          <w:sz w:val="18"/>
          <w:szCs w:val="18"/>
        </w:rPr>
      </w:pPr>
      <w:r>
        <w:rPr>
          <w:rFonts w:ascii="Arial" w:eastAsia="Arial" w:hAnsi="Arial" w:cs="Arial"/>
          <w:b/>
          <w:color w:val="002060"/>
          <w:sz w:val="18"/>
          <w:szCs w:val="18"/>
        </w:rPr>
        <w:t>Con el soporte técnico de:</w:t>
      </w:r>
    </w:p>
    <w:p w14:paraId="18A026E4" w14:textId="77777777" w:rsidR="00B50826" w:rsidRDefault="00B50826">
      <w:pPr>
        <w:rPr>
          <w:rFonts w:ascii="Arial" w:eastAsia="Arial" w:hAnsi="Arial" w:cs="Arial"/>
          <w:b/>
          <w:color w:val="002060"/>
          <w:sz w:val="18"/>
          <w:szCs w:val="18"/>
        </w:rPr>
      </w:pPr>
    </w:p>
    <w:p w14:paraId="5300C87A" w14:textId="77777777" w:rsidR="00B50826" w:rsidRDefault="00006AE2">
      <w:pPr>
        <w:rPr>
          <w:rFonts w:ascii="Arial" w:eastAsia="Arial" w:hAnsi="Arial" w:cs="Arial"/>
          <w:b/>
          <w:color w:val="002060"/>
          <w:sz w:val="18"/>
          <w:szCs w:val="18"/>
        </w:rPr>
      </w:pPr>
      <w:r>
        <w:rPr>
          <w:noProof/>
        </w:rPr>
        <w:drawing>
          <wp:inline distT="114300" distB="114300" distL="114300" distR="114300" wp14:anchorId="4DC6A074" wp14:editId="580652D6">
            <wp:extent cx="1123950" cy="473075"/>
            <wp:effectExtent l="0" t="0" r="0" b="0"/>
            <wp:docPr id="25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b="13636"/>
                    <a:stretch>
                      <a:fillRect/>
                    </a:stretch>
                  </pic:blipFill>
                  <pic:spPr>
                    <a:xfrm>
                      <a:off x="0" y="0"/>
                      <a:ext cx="1123950" cy="473075"/>
                    </a:xfrm>
                    <a:prstGeom prst="rect">
                      <a:avLst/>
                    </a:prstGeom>
                    <a:ln/>
                  </pic:spPr>
                </pic:pic>
              </a:graphicData>
            </a:graphic>
          </wp:inline>
        </w:drawing>
      </w:r>
      <w:r>
        <w:rPr>
          <w:rFonts w:ascii="Arial" w:eastAsia="Arial" w:hAnsi="Arial" w:cs="Arial"/>
          <w:b/>
          <w:color w:val="002060"/>
          <w:sz w:val="18"/>
          <w:szCs w:val="18"/>
        </w:rPr>
        <w:t xml:space="preserve">  </w:t>
      </w:r>
      <w:r>
        <w:rPr>
          <w:noProof/>
        </w:rPr>
        <w:drawing>
          <wp:inline distT="114300" distB="114300" distL="114300" distR="114300" wp14:anchorId="05A4CDA3" wp14:editId="1E719D4A">
            <wp:extent cx="862330" cy="462280"/>
            <wp:effectExtent l="0" t="0" r="0" b="0"/>
            <wp:docPr id="2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l="17752" t="18452" r="17895" b="19047"/>
                    <a:stretch>
                      <a:fillRect/>
                    </a:stretch>
                  </pic:blipFill>
                  <pic:spPr>
                    <a:xfrm>
                      <a:off x="0" y="0"/>
                      <a:ext cx="862915" cy="462836"/>
                    </a:xfrm>
                    <a:prstGeom prst="rect">
                      <a:avLst/>
                    </a:prstGeom>
                    <a:ln/>
                  </pic:spPr>
                </pic:pic>
              </a:graphicData>
            </a:graphic>
          </wp:inline>
        </w:drawing>
      </w:r>
      <w:r>
        <w:rPr>
          <w:rFonts w:ascii="Arial" w:eastAsia="Arial" w:hAnsi="Arial" w:cs="Arial"/>
          <w:b/>
          <w:color w:val="002060"/>
          <w:sz w:val="18"/>
          <w:szCs w:val="18"/>
        </w:rPr>
        <w:t xml:space="preserve">   </w:t>
      </w:r>
      <w:r>
        <w:rPr>
          <w:noProof/>
        </w:rPr>
        <w:drawing>
          <wp:inline distT="114300" distB="114300" distL="114300" distR="114300" wp14:anchorId="07ABE6C5" wp14:editId="68C0C099">
            <wp:extent cx="1014095" cy="450850"/>
            <wp:effectExtent l="0" t="0" r="0" b="0"/>
            <wp:docPr id="2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1014413" cy="450850"/>
                    </a:xfrm>
                    <a:prstGeom prst="rect">
                      <a:avLst/>
                    </a:prstGeom>
                    <a:ln/>
                  </pic:spPr>
                </pic:pic>
              </a:graphicData>
            </a:graphic>
          </wp:inline>
        </w:drawing>
      </w:r>
      <w:r>
        <w:rPr>
          <w:rFonts w:ascii="Arial" w:eastAsia="Arial" w:hAnsi="Arial" w:cs="Arial"/>
          <w:b/>
          <w:color w:val="002060"/>
          <w:sz w:val="18"/>
          <w:szCs w:val="18"/>
        </w:rPr>
        <w:t xml:space="preserve">  </w:t>
      </w:r>
      <w:r>
        <w:rPr>
          <w:noProof/>
        </w:rPr>
        <w:drawing>
          <wp:inline distT="114300" distB="114300" distL="114300" distR="114300" wp14:anchorId="45A98DCA" wp14:editId="14B160EB">
            <wp:extent cx="786130" cy="425450"/>
            <wp:effectExtent l="0" t="0" r="0" b="0"/>
            <wp:docPr id="2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786517" cy="426030"/>
                    </a:xfrm>
                    <a:prstGeom prst="rect">
                      <a:avLst/>
                    </a:prstGeom>
                    <a:ln/>
                  </pic:spPr>
                </pic:pic>
              </a:graphicData>
            </a:graphic>
          </wp:inline>
        </w:drawing>
      </w:r>
      <w:r>
        <w:rPr>
          <w:rFonts w:ascii="Arial" w:eastAsia="Arial" w:hAnsi="Arial" w:cs="Arial"/>
          <w:b/>
          <w:color w:val="002060"/>
          <w:sz w:val="18"/>
          <w:szCs w:val="18"/>
        </w:rPr>
        <w:t xml:space="preserve">  </w:t>
      </w:r>
      <w:r>
        <w:rPr>
          <w:noProof/>
        </w:rPr>
        <w:drawing>
          <wp:inline distT="114300" distB="114300" distL="114300" distR="114300" wp14:anchorId="73DFC560" wp14:editId="6AA3E1F1">
            <wp:extent cx="1015365" cy="443230"/>
            <wp:effectExtent l="0" t="0" r="0" b="0"/>
            <wp:docPr id="2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015365" cy="443752"/>
                    </a:xfrm>
                    <a:prstGeom prst="rect">
                      <a:avLst/>
                    </a:prstGeom>
                    <a:ln/>
                  </pic:spPr>
                </pic:pic>
              </a:graphicData>
            </a:graphic>
          </wp:inline>
        </w:drawing>
      </w:r>
    </w:p>
    <w:p w14:paraId="6017CD61" w14:textId="77777777" w:rsidR="00B50826" w:rsidRDefault="00B50826">
      <w:pPr>
        <w:rPr>
          <w:rFonts w:ascii="Arial" w:eastAsia="Arial" w:hAnsi="Arial" w:cs="Arial"/>
          <w:b/>
          <w:color w:val="002060"/>
          <w:sz w:val="18"/>
          <w:szCs w:val="18"/>
        </w:rPr>
      </w:pPr>
    </w:p>
    <w:p w14:paraId="0C2EF302" w14:textId="77777777" w:rsidR="00B50826" w:rsidRDefault="00006AE2">
      <w:pPr>
        <w:rPr>
          <w:rFonts w:ascii="Arial" w:eastAsia="Arial" w:hAnsi="Arial" w:cs="Arial"/>
          <w:b/>
          <w:color w:val="002060"/>
          <w:sz w:val="18"/>
          <w:szCs w:val="18"/>
        </w:rPr>
      </w:pPr>
      <w:r>
        <w:rPr>
          <w:rFonts w:ascii="Arial" w:eastAsia="Arial" w:hAnsi="Arial" w:cs="Arial"/>
          <w:b/>
          <w:color w:val="002060"/>
          <w:sz w:val="18"/>
          <w:szCs w:val="18"/>
        </w:rPr>
        <w:t xml:space="preserve">                               </w:t>
      </w:r>
      <w:r>
        <w:rPr>
          <w:noProof/>
        </w:rPr>
        <w:drawing>
          <wp:inline distT="114300" distB="114300" distL="114300" distR="114300" wp14:anchorId="2C1FD450" wp14:editId="5C20BAE8">
            <wp:extent cx="755015" cy="584200"/>
            <wp:effectExtent l="0" t="0" r="0" b="0"/>
            <wp:docPr id="2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11608" b="20398"/>
                    <a:stretch>
                      <a:fillRect/>
                    </a:stretch>
                  </pic:blipFill>
                  <pic:spPr>
                    <a:xfrm>
                      <a:off x="0" y="0"/>
                      <a:ext cx="755015" cy="584390"/>
                    </a:xfrm>
                    <a:prstGeom prst="rect">
                      <a:avLst/>
                    </a:prstGeom>
                    <a:ln/>
                  </pic:spPr>
                </pic:pic>
              </a:graphicData>
            </a:graphic>
          </wp:inline>
        </w:drawing>
      </w:r>
      <w:r>
        <w:rPr>
          <w:rFonts w:ascii="Arial" w:eastAsia="Arial" w:hAnsi="Arial" w:cs="Arial"/>
          <w:b/>
          <w:color w:val="002060"/>
          <w:sz w:val="18"/>
          <w:szCs w:val="18"/>
        </w:rPr>
        <w:t xml:space="preserve">  </w:t>
      </w:r>
      <w:r>
        <w:rPr>
          <w:noProof/>
        </w:rPr>
        <w:drawing>
          <wp:inline distT="114300" distB="114300" distL="114300" distR="114300" wp14:anchorId="6EAF38CF" wp14:editId="532357EE">
            <wp:extent cx="1316355" cy="385445"/>
            <wp:effectExtent l="0" t="0" r="0" b="0"/>
            <wp:docPr id="2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1316742" cy="385942"/>
                    </a:xfrm>
                    <a:prstGeom prst="rect">
                      <a:avLst/>
                    </a:prstGeom>
                    <a:ln/>
                  </pic:spPr>
                </pic:pic>
              </a:graphicData>
            </a:graphic>
          </wp:inline>
        </w:drawing>
      </w:r>
      <w:r>
        <w:rPr>
          <w:rFonts w:ascii="Arial" w:eastAsia="Arial" w:hAnsi="Arial" w:cs="Arial"/>
          <w:b/>
          <w:color w:val="002060"/>
          <w:sz w:val="18"/>
          <w:szCs w:val="18"/>
        </w:rPr>
        <w:t xml:space="preserve"> </w:t>
      </w:r>
      <w:r>
        <w:rPr>
          <w:noProof/>
        </w:rPr>
        <w:drawing>
          <wp:inline distT="114300" distB="114300" distL="114300" distR="114300" wp14:anchorId="0DF133AF" wp14:editId="79587B77">
            <wp:extent cx="1303655" cy="387350"/>
            <wp:effectExtent l="0" t="0" r="0" b="0"/>
            <wp:docPr id="2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303893" cy="387644"/>
                    </a:xfrm>
                    <a:prstGeom prst="rect">
                      <a:avLst/>
                    </a:prstGeom>
                    <a:ln/>
                  </pic:spPr>
                </pic:pic>
              </a:graphicData>
            </a:graphic>
          </wp:inline>
        </w:drawing>
      </w:r>
    </w:p>
    <w:p w14:paraId="002D555E" w14:textId="77777777" w:rsidR="00B50826" w:rsidRDefault="00B50826">
      <w:pPr>
        <w:rPr>
          <w:rFonts w:ascii="Arial" w:eastAsia="Arial" w:hAnsi="Arial" w:cs="Arial"/>
          <w:color w:val="002060"/>
          <w:sz w:val="18"/>
          <w:szCs w:val="18"/>
        </w:rPr>
      </w:pPr>
    </w:p>
    <w:p w14:paraId="6630AF1E" w14:textId="77777777" w:rsidR="00B50826" w:rsidRDefault="00B50826">
      <w:pPr>
        <w:rPr>
          <w:rFonts w:ascii="Arial" w:eastAsia="Arial" w:hAnsi="Arial" w:cs="Arial"/>
          <w:color w:val="002060"/>
          <w:sz w:val="18"/>
          <w:szCs w:val="18"/>
        </w:rPr>
      </w:pPr>
    </w:p>
    <w:p w14:paraId="74BB0609" w14:textId="77777777" w:rsidR="00B50826" w:rsidRDefault="00006AE2">
      <w:pPr>
        <w:rPr>
          <w:rFonts w:ascii="Arial" w:eastAsia="Arial" w:hAnsi="Arial" w:cs="Arial"/>
          <w:b/>
          <w:sz w:val="18"/>
          <w:szCs w:val="18"/>
        </w:rPr>
      </w:pPr>
      <w:r>
        <w:rPr>
          <w:rFonts w:ascii="Arial" w:eastAsia="Arial" w:hAnsi="Arial" w:cs="Arial"/>
          <w:b/>
          <w:sz w:val="18"/>
          <w:szCs w:val="18"/>
        </w:rPr>
        <w:t>Diseño y diagramación</w:t>
      </w:r>
    </w:p>
    <w:p w14:paraId="45E38453" w14:textId="77777777" w:rsidR="00B50826" w:rsidRDefault="00B50826">
      <w:pPr>
        <w:rPr>
          <w:rFonts w:ascii="Arial" w:eastAsia="Arial" w:hAnsi="Arial" w:cs="Arial"/>
          <w:color w:val="002060"/>
          <w:sz w:val="18"/>
          <w:szCs w:val="18"/>
        </w:rPr>
      </w:pPr>
    </w:p>
    <w:p w14:paraId="44584423"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 xml:space="preserve">Primera edición: 2020 </w:t>
      </w:r>
    </w:p>
    <w:p w14:paraId="093AC058"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Tiraje: 1,000 ejemplares</w:t>
      </w:r>
    </w:p>
    <w:p w14:paraId="2DF1AA57" w14:textId="77777777" w:rsidR="00B50826" w:rsidRDefault="00B50826">
      <w:pPr>
        <w:rPr>
          <w:rFonts w:ascii="Arial" w:eastAsia="Arial" w:hAnsi="Arial" w:cs="Arial"/>
          <w:color w:val="002060"/>
          <w:sz w:val="18"/>
          <w:szCs w:val="18"/>
        </w:rPr>
      </w:pPr>
    </w:p>
    <w:p w14:paraId="2B209231" w14:textId="77777777" w:rsidR="00B50826" w:rsidRDefault="00006AE2">
      <w:pPr>
        <w:jc w:val="both"/>
        <w:rPr>
          <w:rFonts w:ascii="Arial" w:eastAsia="Arial" w:hAnsi="Arial" w:cs="Arial"/>
          <w:color w:val="002060"/>
          <w:sz w:val="18"/>
          <w:szCs w:val="18"/>
        </w:rPr>
      </w:pPr>
      <w:r>
        <w:rPr>
          <w:rFonts w:ascii="Arial" w:eastAsia="Arial" w:hAnsi="Arial" w:cs="Arial"/>
          <w:color w:val="002060"/>
          <w:sz w:val="18"/>
          <w:szCs w:val="18"/>
        </w:rPr>
        <w:t xml:space="preserve">Todos los derechos reservados. El contenido de esta publicación podrá ser reproducido total o parcialmente si se obtiene el permiso del Gobierno Regional Huánuco y la fuente es reconocida. </w:t>
      </w:r>
    </w:p>
    <w:p w14:paraId="1B951953" w14:textId="77777777" w:rsidR="00B50826" w:rsidRDefault="00B50826">
      <w:pPr>
        <w:rPr>
          <w:rFonts w:ascii="Arial" w:eastAsia="Arial" w:hAnsi="Arial" w:cs="Arial"/>
          <w:color w:val="002060"/>
          <w:sz w:val="18"/>
          <w:szCs w:val="18"/>
        </w:rPr>
      </w:pPr>
    </w:p>
    <w:p w14:paraId="41F94F7B" w14:textId="77777777" w:rsidR="00B50826" w:rsidRDefault="00006AE2">
      <w:pPr>
        <w:jc w:val="both"/>
        <w:rPr>
          <w:rFonts w:ascii="Arial" w:eastAsia="Arial" w:hAnsi="Arial" w:cs="Arial"/>
          <w:i/>
          <w:color w:val="002060"/>
          <w:sz w:val="18"/>
          <w:szCs w:val="18"/>
        </w:rPr>
      </w:pPr>
      <w:r>
        <w:rPr>
          <w:rFonts w:ascii="Arial" w:eastAsia="Arial" w:hAnsi="Arial" w:cs="Arial"/>
          <w:i/>
          <w:color w:val="002060"/>
          <w:sz w:val="18"/>
          <w:szCs w:val="18"/>
        </w:rPr>
        <w:t xml:space="preserve">“La presente publicación ha sido realizada gracias al soporte del Programa de Naciones Unidas para el Desarrollo y el Grupo de Trabajo de los Gobernadores por los Bosques y el Clima, y el financiamiento del Ministerio del Ambiente y Clima del Gobierno del Reino de Noruega, la Iniciativa Noruega sobre Clima y Bosques, la Agencia Noruega de Cooperación Internacional y la Iniciativa Internacional del Clima del Ministerio Federal de Medio Ambiente, Protección de la Naturaleza y Seguridad Nuclear del Gobierno Federal de Alemania. La inclusión de sus logotipos o mención de estas agencias no implica aprobación o respaldo a las posiciones expresadas en este documento” </w:t>
      </w:r>
    </w:p>
    <w:p w14:paraId="146B02B8" w14:textId="77777777" w:rsidR="00B50826" w:rsidRDefault="00B50826">
      <w:pPr>
        <w:rPr>
          <w:rFonts w:ascii="Arial" w:eastAsia="Arial" w:hAnsi="Arial" w:cs="Arial"/>
          <w:color w:val="002060"/>
          <w:sz w:val="20"/>
          <w:szCs w:val="20"/>
        </w:rPr>
      </w:pPr>
    </w:p>
    <w:p w14:paraId="685408EF" w14:textId="77777777" w:rsidR="00B50826" w:rsidRDefault="00B50826">
      <w:pPr>
        <w:rPr>
          <w:rFonts w:ascii="Arial" w:eastAsia="Arial" w:hAnsi="Arial" w:cs="Arial"/>
          <w:color w:val="002060"/>
        </w:rPr>
      </w:pPr>
    </w:p>
    <w:p w14:paraId="7AE7AC96" w14:textId="77777777" w:rsidR="00A51281" w:rsidRDefault="00A51281">
      <w:pPr>
        <w:rPr>
          <w:rFonts w:ascii="Arial" w:eastAsia="Arial" w:hAnsi="Arial" w:cs="Arial"/>
          <w:color w:val="002060"/>
        </w:rPr>
      </w:pPr>
    </w:p>
    <w:p w14:paraId="24D4E8AF" w14:textId="77777777" w:rsidR="00B50826" w:rsidRDefault="00B50826">
      <w:pPr>
        <w:rPr>
          <w:rFonts w:ascii="Arial" w:eastAsia="Arial" w:hAnsi="Arial" w:cs="Arial"/>
          <w:color w:val="002060"/>
        </w:rPr>
      </w:pPr>
    </w:p>
    <w:p w14:paraId="16EF5486" w14:textId="77777777" w:rsidR="00B50826" w:rsidRDefault="00006AE2">
      <w:pPr>
        <w:rPr>
          <w:rFonts w:ascii="Arial" w:eastAsia="Arial" w:hAnsi="Arial" w:cs="Arial"/>
          <w:color w:val="002060"/>
        </w:rPr>
      </w:pPr>
      <w:r w:rsidRPr="00A51281">
        <w:rPr>
          <w:rFonts w:ascii="Arial" w:eastAsia="Arial" w:hAnsi="Arial" w:cs="Arial"/>
          <w:b/>
          <w:color w:val="002060"/>
        </w:rPr>
        <w:lastRenderedPageBreak/>
        <w:t>Acrónimos</w:t>
      </w:r>
      <w:r w:rsidR="00F62D58">
        <w:rPr>
          <w:noProof/>
        </w:rPr>
        <w:pict w14:anchorId="52857B97">
          <v:rect id="_x0000_i1025" style="width:0;height:1.5pt" o:hralign="center" o:hrstd="t" o:hr="t" fillcolor="#a0a0a0" stroked="f"/>
        </w:pict>
      </w:r>
    </w:p>
    <w:p w14:paraId="768A4F13" w14:textId="77777777" w:rsidR="008A10E1" w:rsidRDefault="008A10E1">
      <w:pPr>
        <w:spacing w:line="276" w:lineRule="auto"/>
        <w:ind w:left="576"/>
        <w:rPr>
          <w:rFonts w:ascii="Arial" w:eastAsia="Arial" w:hAnsi="Arial" w:cs="Arial"/>
          <w:color w:val="002060"/>
          <w:sz w:val="20"/>
          <w:szCs w:val="20"/>
        </w:rPr>
      </w:pPr>
    </w:p>
    <w:p w14:paraId="33088729"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ANP</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Área Natural Protegida</w:t>
      </w:r>
    </w:p>
    <w:p w14:paraId="69360217"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BPP</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Bosque de Protección Permanente</w:t>
      </w:r>
    </w:p>
    <w:p w14:paraId="57FB1029"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CCNN</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Comunidades Nativas</w:t>
      </w:r>
    </w:p>
    <w:p w14:paraId="55A7CCA2"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CEPLAN</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Centro Nacional de Planeamiento Estratégico</w:t>
      </w:r>
    </w:p>
    <w:p w14:paraId="21625798"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CIMA</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Centro de Conservación, Investigación y Manejo de Áreas Naturales</w:t>
      </w:r>
    </w:p>
    <w:p w14:paraId="54C7158B"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DIRCETUR</w:t>
      </w:r>
      <w:r>
        <w:rPr>
          <w:rFonts w:ascii="Arial" w:eastAsia="Arial" w:hAnsi="Arial" w:cs="Arial"/>
          <w:color w:val="002060"/>
          <w:sz w:val="20"/>
          <w:szCs w:val="20"/>
        </w:rPr>
        <w:tab/>
      </w:r>
      <w:r>
        <w:rPr>
          <w:rFonts w:ascii="Arial" w:eastAsia="Arial" w:hAnsi="Arial" w:cs="Arial"/>
          <w:color w:val="002060"/>
          <w:sz w:val="20"/>
          <w:szCs w:val="20"/>
        </w:rPr>
        <w:tab/>
        <w:t>Dirección Regional de Comercio Exterior y Turismo</w:t>
      </w:r>
    </w:p>
    <w:p w14:paraId="74925F97"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DRA</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Dirección Regional de Agricultura</w:t>
      </w:r>
    </w:p>
    <w:p w14:paraId="2E6A2BDA"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EII</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r>
      <w:proofErr w:type="spellStart"/>
      <w:r>
        <w:rPr>
          <w:rFonts w:ascii="Arial" w:eastAsia="Arial" w:hAnsi="Arial" w:cs="Arial"/>
          <w:color w:val="002060"/>
          <w:sz w:val="20"/>
          <w:szCs w:val="20"/>
        </w:rPr>
        <w:t>Earth</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Innovation</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Institute</w:t>
      </w:r>
      <w:proofErr w:type="spellEnd"/>
      <w:r>
        <w:rPr>
          <w:rFonts w:ascii="Arial" w:eastAsia="Arial" w:hAnsi="Arial" w:cs="Arial"/>
          <w:color w:val="002060"/>
          <w:sz w:val="20"/>
          <w:szCs w:val="20"/>
        </w:rPr>
        <w:t xml:space="preserve"> </w:t>
      </w:r>
    </w:p>
    <w:p w14:paraId="3A2117BF"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ENACO</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Empresa Nacional de la Coca</w:t>
      </w:r>
    </w:p>
    <w:p w14:paraId="2298D427"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ENBCC</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Estrategia Nacional sobre Bosques y Cambio Climático</w:t>
      </w:r>
    </w:p>
    <w:p w14:paraId="5C0FA6DF"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ENDB</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Estrategia Nacional de Diversidad Biológica al 2021 y su Plan </w:t>
      </w:r>
    </w:p>
    <w:p w14:paraId="5F819685" w14:textId="77777777" w:rsidR="00B50826" w:rsidRDefault="00006AE2">
      <w:pPr>
        <w:spacing w:line="276" w:lineRule="auto"/>
        <w:ind w:left="2736" w:firstLine="143"/>
        <w:rPr>
          <w:rFonts w:ascii="Arial" w:eastAsia="Arial" w:hAnsi="Arial" w:cs="Arial"/>
          <w:color w:val="002060"/>
          <w:sz w:val="20"/>
          <w:szCs w:val="20"/>
        </w:rPr>
      </w:pPr>
      <w:r>
        <w:rPr>
          <w:rFonts w:ascii="Arial" w:eastAsia="Arial" w:hAnsi="Arial" w:cs="Arial"/>
          <w:color w:val="002060"/>
          <w:sz w:val="20"/>
          <w:szCs w:val="20"/>
        </w:rPr>
        <w:t>de Acción</w:t>
      </w:r>
    </w:p>
    <w:p w14:paraId="09786089"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ENDR</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Estrategia Nacional de Desarrollo Rural</w:t>
      </w:r>
    </w:p>
    <w:p w14:paraId="6A1C10AE"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ERDRBE</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Estrategia Regional de Desarrollo Rural Bajo en Emisiones</w:t>
      </w:r>
    </w:p>
    <w:p w14:paraId="51B8C3CB"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ETAR</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Equipo Técnico de Apoyo Regional</w:t>
      </w:r>
    </w:p>
    <w:p w14:paraId="383C21C2" w14:textId="77777777" w:rsidR="00B50826" w:rsidRDefault="00006AE2">
      <w:pPr>
        <w:spacing w:line="276" w:lineRule="auto"/>
        <w:rPr>
          <w:rFonts w:ascii="Arial" w:eastAsia="Arial" w:hAnsi="Arial" w:cs="Arial"/>
          <w:color w:val="002060"/>
          <w:sz w:val="20"/>
          <w:szCs w:val="20"/>
        </w:rPr>
      </w:pPr>
      <w:r>
        <w:rPr>
          <w:rFonts w:ascii="Arial" w:eastAsia="Arial" w:hAnsi="Arial" w:cs="Arial"/>
          <w:color w:val="002060"/>
          <w:sz w:val="20"/>
          <w:szCs w:val="20"/>
        </w:rPr>
        <w:t xml:space="preserve">           FAO</w:t>
      </w:r>
      <w:r>
        <w:rPr>
          <w:rFonts w:ascii="Arial" w:eastAsia="Arial" w:hAnsi="Arial" w:cs="Arial"/>
          <w:color w:val="002060"/>
          <w:sz w:val="20"/>
          <w:szCs w:val="20"/>
        </w:rPr>
        <w:tab/>
      </w:r>
      <w:r>
        <w:rPr>
          <w:rFonts w:ascii="Arial" w:eastAsia="Arial" w:hAnsi="Arial" w:cs="Arial"/>
          <w:color w:val="002060"/>
          <w:sz w:val="20"/>
          <w:szCs w:val="20"/>
        </w:rPr>
        <w:tab/>
        <w:t xml:space="preserve">             Organización de las Naciones Unidas para la Alimentación y </w:t>
      </w:r>
    </w:p>
    <w:p w14:paraId="75E7CF3D" w14:textId="77777777" w:rsidR="00B50826" w:rsidRDefault="00006AE2">
      <w:pPr>
        <w:spacing w:line="276" w:lineRule="auto"/>
        <w:ind w:left="2160" w:firstLine="720"/>
        <w:rPr>
          <w:rFonts w:ascii="Arial" w:eastAsia="Arial" w:hAnsi="Arial" w:cs="Arial"/>
          <w:color w:val="002060"/>
          <w:sz w:val="20"/>
          <w:szCs w:val="20"/>
        </w:rPr>
      </w:pPr>
      <w:r>
        <w:rPr>
          <w:rFonts w:ascii="Arial" w:eastAsia="Arial" w:hAnsi="Arial" w:cs="Arial"/>
          <w:color w:val="002060"/>
          <w:sz w:val="20"/>
          <w:szCs w:val="20"/>
        </w:rPr>
        <w:t>la Agricultura</w:t>
      </w:r>
    </w:p>
    <w:p w14:paraId="5906471A"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FECONAPIA</w:t>
      </w:r>
      <w:r>
        <w:rPr>
          <w:rFonts w:ascii="Arial" w:eastAsia="Arial" w:hAnsi="Arial" w:cs="Arial"/>
          <w:color w:val="002060"/>
          <w:sz w:val="20"/>
          <w:szCs w:val="20"/>
        </w:rPr>
        <w:tab/>
      </w:r>
      <w:r>
        <w:rPr>
          <w:rFonts w:ascii="Arial" w:eastAsia="Arial" w:hAnsi="Arial" w:cs="Arial"/>
          <w:color w:val="002060"/>
          <w:sz w:val="20"/>
          <w:szCs w:val="20"/>
        </w:rPr>
        <w:tab/>
        <w:t xml:space="preserve">Federación de Comunidades Nativas de la Provincia de Puerto Inca </w:t>
      </w:r>
    </w:p>
    <w:p w14:paraId="60E298AB"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FECONAYA</w:t>
      </w:r>
      <w:r>
        <w:rPr>
          <w:rFonts w:ascii="Arial" w:eastAsia="Arial" w:hAnsi="Arial" w:cs="Arial"/>
          <w:color w:val="002060"/>
          <w:sz w:val="20"/>
          <w:szCs w:val="20"/>
        </w:rPr>
        <w:tab/>
      </w:r>
      <w:r>
        <w:rPr>
          <w:rFonts w:ascii="Arial" w:eastAsia="Arial" w:hAnsi="Arial" w:cs="Arial"/>
          <w:color w:val="002060"/>
          <w:sz w:val="20"/>
          <w:szCs w:val="20"/>
        </w:rPr>
        <w:tab/>
        <w:t xml:space="preserve">Federación de Comunidades Nativas </w:t>
      </w:r>
      <w:proofErr w:type="spellStart"/>
      <w:r>
        <w:rPr>
          <w:rFonts w:ascii="Arial" w:eastAsia="Arial" w:hAnsi="Arial" w:cs="Arial"/>
          <w:color w:val="002060"/>
          <w:sz w:val="20"/>
          <w:szCs w:val="20"/>
        </w:rPr>
        <w:t>Yaneshas</w:t>
      </w:r>
      <w:proofErr w:type="spellEnd"/>
    </w:p>
    <w:p w14:paraId="7007CB5C"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FENACOCA</w:t>
      </w:r>
      <w:r>
        <w:rPr>
          <w:rFonts w:ascii="Arial" w:eastAsia="Arial" w:hAnsi="Arial" w:cs="Arial"/>
          <w:color w:val="002060"/>
          <w:sz w:val="20"/>
          <w:szCs w:val="20"/>
        </w:rPr>
        <w:tab/>
      </w:r>
      <w:r>
        <w:rPr>
          <w:rFonts w:ascii="Arial" w:eastAsia="Arial" w:hAnsi="Arial" w:cs="Arial"/>
          <w:color w:val="002060"/>
          <w:sz w:val="20"/>
          <w:szCs w:val="20"/>
        </w:rPr>
        <w:tab/>
        <w:t xml:space="preserve">Federación Nativa de Comunidades </w:t>
      </w:r>
      <w:proofErr w:type="spellStart"/>
      <w:r>
        <w:rPr>
          <w:rFonts w:ascii="Arial" w:eastAsia="Arial" w:hAnsi="Arial" w:cs="Arial"/>
          <w:color w:val="002060"/>
          <w:sz w:val="20"/>
          <w:szCs w:val="20"/>
        </w:rPr>
        <w:t>Cacataibo</w:t>
      </w:r>
      <w:proofErr w:type="spellEnd"/>
    </w:p>
    <w:p w14:paraId="76117032"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FONDESAM</w:t>
      </w:r>
      <w:r>
        <w:rPr>
          <w:rFonts w:ascii="Arial" w:eastAsia="Arial" w:hAnsi="Arial" w:cs="Arial"/>
          <w:color w:val="002060"/>
          <w:sz w:val="20"/>
          <w:szCs w:val="20"/>
        </w:rPr>
        <w:tab/>
      </w:r>
      <w:r>
        <w:rPr>
          <w:rFonts w:ascii="Arial" w:eastAsia="Arial" w:hAnsi="Arial" w:cs="Arial"/>
          <w:color w:val="002060"/>
          <w:sz w:val="20"/>
          <w:szCs w:val="20"/>
        </w:rPr>
        <w:tab/>
        <w:t xml:space="preserve">Fondo de Desarrollo Amazónico </w:t>
      </w:r>
    </w:p>
    <w:p w14:paraId="160A1E09" w14:textId="77777777" w:rsidR="00B50826" w:rsidRDefault="00006AE2">
      <w:pPr>
        <w:spacing w:line="276" w:lineRule="auto"/>
        <w:ind w:left="2880" w:hanging="2304"/>
        <w:rPr>
          <w:rFonts w:ascii="Arial" w:eastAsia="Arial" w:hAnsi="Arial" w:cs="Arial"/>
          <w:color w:val="002060"/>
          <w:sz w:val="20"/>
          <w:szCs w:val="20"/>
        </w:rPr>
      </w:pPr>
      <w:r>
        <w:rPr>
          <w:rFonts w:ascii="Arial" w:eastAsia="Arial" w:hAnsi="Arial" w:cs="Arial"/>
          <w:color w:val="002060"/>
          <w:sz w:val="20"/>
          <w:szCs w:val="20"/>
        </w:rPr>
        <w:t>GCF- TF</w:t>
      </w:r>
      <w:r>
        <w:rPr>
          <w:rFonts w:ascii="Arial" w:eastAsia="Arial" w:hAnsi="Arial" w:cs="Arial"/>
          <w:color w:val="002060"/>
          <w:sz w:val="20"/>
          <w:szCs w:val="20"/>
        </w:rPr>
        <w:tab/>
      </w:r>
      <w:r>
        <w:rPr>
          <w:rFonts w:ascii="Arial" w:eastAsia="Arial" w:hAnsi="Arial" w:cs="Arial"/>
          <w:color w:val="002060"/>
          <w:sz w:val="20"/>
          <w:szCs w:val="20"/>
          <w:highlight w:val="white"/>
        </w:rPr>
        <w:t xml:space="preserve">Grupo de Trabajo de Gobernadores para el clima y los bosques </w:t>
      </w:r>
    </w:p>
    <w:p w14:paraId="1D2EFA17"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GEI</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Gases del Efecto Invernadero</w:t>
      </w:r>
    </w:p>
    <w:p w14:paraId="2E3D0E63"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GOREHCO</w:t>
      </w:r>
      <w:r>
        <w:rPr>
          <w:rFonts w:ascii="Arial" w:eastAsia="Arial" w:hAnsi="Arial" w:cs="Arial"/>
          <w:color w:val="002060"/>
          <w:sz w:val="20"/>
          <w:szCs w:val="20"/>
        </w:rPr>
        <w:tab/>
      </w:r>
      <w:r>
        <w:rPr>
          <w:rFonts w:ascii="Arial" w:eastAsia="Arial" w:hAnsi="Arial" w:cs="Arial"/>
          <w:color w:val="002060"/>
          <w:sz w:val="20"/>
          <w:szCs w:val="20"/>
        </w:rPr>
        <w:tab/>
        <w:t>Gobierno Regional de Huánuco</w:t>
      </w:r>
    </w:p>
    <w:p w14:paraId="775DB11F"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GTR</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Grupo de Trabajo Regional</w:t>
      </w:r>
    </w:p>
    <w:p w14:paraId="6060E533"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HAS</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Hectáreas</w:t>
      </w:r>
    </w:p>
    <w:p w14:paraId="0045C7F2"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IBC</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Instituto del Bien Común </w:t>
      </w:r>
    </w:p>
    <w:p w14:paraId="10145068"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ICRAF</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r>
      <w:proofErr w:type="spellStart"/>
      <w:r>
        <w:rPr>
          <w:rFonts w:ascii="Arial" w:eastAsia="Arial" w:hAnsi="Arial" w:cs="Arial"/>
          <w:color w:val="002060"/>
          <w:sz w:val="20"/>
          <w:szCs w:val="20"/>
        </w:rPr>
        <w:t>World</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Agroforestry</w:t>
      </w:r>
      <w:proofErr w:type="spellEnd"/>
    </w:p>
    <w:p w14:paraId="765D4FD1"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IIAP</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Instituto de Investigaciones de la Amazonia Peruana</w:t>
      </w:r>
    </w:p>
    <w:p w14:paraId="74CBE94F"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INCORE</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Índice de Competitividad Regional</w:t>
      </w:r>
    </w:p>
    <w:p w14:paraId="4DC26CC4"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MIDE</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Movimiento de Integración Descentralista</w:t>
      </w:r>
    </w:p>
    <w:p w14:paraId="36D378CA"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MINAGRI</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Ministerio Nacional de Agricultura y Riego</w:t>
      </w:r>
    </w:p>
    <w:p w14:paraId="69CDB233"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MINAM</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Ministerio Nacional de Medio Ambiente </w:t>
      </w:r>
    </w:p>
    <w:p w14:paraId="133A400C"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NCI</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Naturaleza y Cultura Internacional</w:t>
      </w:r>
    </w:p>
    <w:p w14:paraId="3CB7C6F4"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ODS</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Objetivo de Desarrollo Sostenible</w:t>
      </w:r>
    </w:p>
    <w:p w14:paraId="71585A20"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PBI</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Producto Bruto interno</w:t>
      </w:r>
    </w:p>
    <w:p w14:paraId="65867582"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PDRC</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Plan de Desarrollo Regional Concertado</w:t>
      </w:r>
    </w:p>
    <w:p w14:paraId="7256EE0A"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PEA</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Plan Estratégico Agrario</w:t>
      </w:r>
    </w:p>
    <w:p w14:paraId="0BF6F278"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PNUD</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Programa de las Naciones Unidas Para el Desarrollo </w:t>
      </w:r>
    </w:p>
    <w:p w14:paraId="1BC08A63"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PIP</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Proyecto de Inversión pública</w:t>
      </w:r>
    </w:p>
    <w:p w14:paraId="4489B28F" w14:textId="77777777" w:rsidR="00B50826" w:rsidRDefault="00006AE2">
      <w:pPr>
        <w:spacing w:line="276" w:lineRule="auto"/>
        <w:ind w:left="576"/>
        <w:rPr>
          <w:rFonts w:ascii="Arial" w:eastAsia="Arial" w:hAnsi="Arial" w:cs="Arial"/>
          <w:color w:val="002060"/>
          <w:sz w:val="20"/>
          <w:szCs w:val="20"/>
        </w:rPr>
      </w:pPr>
      <w:proofErr w:type="spellStart"/>
      <w:r>
        <w:rPr>
          <w:rFonts w:ascii="Arial" w:eastAsia="Arial" w:hAnsi="Arial" w:cs="Arial"/>
          <w:color w:val="002060"/>
          <w:sz w:val="20"/>
          <w:szCs w:val="20"/>
        </w:rPr>
        <w:t>PIPda</w:t>
      </w:r>
      <w:proofErr w:type="spellEnd"/>
      <w:r>
        <w:rPr>
          <w:rFonts w:ascii="Arial" w:eastAsia="Arial" w:hAnsi="Arial" w:cs="Arial"/>
          <w:color w:val="002060"/>
          <w:sz w:val="20"/>
          <w:szCs w:val="20"/>
        </w:rPr>
        <w:t>.</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Proyecto de Inversión Privada</w:t>
      </w:r>
    </w:p>
    <w:p w14:paraId="7193F36F"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PLANAA</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Plan Nacional de Acción Ambiental </w:t>
      </w:r>
    </w:p>
    <w:p w14:paraId="53EEE135"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PNA</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Premio Nacional Ambiental</w:t>
      </w:r>
    </w:p>
    <w:p w14:paraId="0E42A013"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PNCC</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Plan Nacional de Cambio Climático</w:t>
      </w:r>
    </w:p>
    <w:p w14:paraId="2D03A902"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PNDP</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Plan Nacional de la Diversificación Productiva </w:t>
      </w:r>
    </w:p>
    <w:p w14:paraId="00777CBC"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SERFOR</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highlight w:val="white"/>
        </w:rPr>
        <w:t>Servicio Nacional Forestal y de Fauna Silvestre</w:t>
      </w:r>
    </w:p>
    <w:p w14:paraId="02F8E4F5"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SPDE</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Sociedad Peruana de Ecodesarrollo </w:t>
      </w:r>
    </w:p>
    <w:p w14:paraId="21744860"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lastRenderedPageBreak/>
        <w:t xml:space="preserve">UDT </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Unidad de Desarrollo Territorial</w:t>
      </w:r>
    </w:p>
    <w:p w14:paraId="050940CA" w14:textId="77777777" w:rsidR="00B50826" w:rsidRDefault="00006AE2">
      <w:pPr>
        <w:spacing w:line="276" w:lineRule="auto"/>
        <w:ind w:left="576"/>
        <w:rPr>
          <w:rFonts w:ascii="Arial" w:eastAsia="Arial" w:hAnsi="Arial" w:cs="Arial"/>
          <w:color w:val="002060"/>
          <w:sz w:val="20"/>
          <w:szCs w:val="20"/>
          <w:highlight w:val="white"/>
        </w:rPr>
      </w:pPr>
      <w:r>
        <w:rPr>
          <w:rFonts w:ascii="Arial" w:eastAsia="Arial" w:hAnsi="Arial" w:cs="Arial"/>
          <w:color w:val="002060"/>
          <w:sz w:val="20"/>
          <w:szCs w:val="20"/>
        </w:rPr>
        <w:t>UGEL</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highlight w:val="white"/>
        </w:rPr>
        <w:t>Unidad de Gestión Educativa Local </w:t>
      </w:r>
    </w:p>
    <w:p w14:paraId="4F072929" w14:textId="77777777" w:rsidR="00B50826" w:rsidRDefault="00006AE2">
      <w:pPr>
        <w:spacing w:line="276" w:lineRule="auto"/>
        <w:ind w:left="576"/>
        <w:rPr>
          <w:rFonts w:ascii="Arial" w:eastAsia="Arial" w:hAnsi="Arial" w:cs="Arial"/>
          <w:color w:val="002060"/>
          <w:sz w:val="20"/>
          <w:szCs w:val="20"/>
          <w:highlight w:val="white"/>
        </w:rPr>
      </w:pPr>
      <w:r>
        <w:rPr>
          <w:rFonts w:ascii="Arial" w:eastAsia="Arial" w:hAnsi="Arial" w:cs="Arial"/>
          <w:color w:val="002060"/>
          <w:sz w:val="20"/>
          <w:szCs w:val="20"/>
          <w:highlight w:val="white"/>
        </w:rPr>
        <w:t>USA</w:t>
      </w:r>
      <w:r>
        <w:rPr>
          <w:rFonts w:ascii="Arial" w:eastAsia="Arial" w:hAnsi="Arial" w:cs="Arial"/>
          <w:color w:val="002060"/>
          <w:sz w:val="20"/>
          <w:szCs w:val="20"/>
          <w:highlight w:val="white"/>
        </w:rPr>
        <w:tab/>
      </w:r>
      <w:r>
        <w:rPr>
          <w:rFonts w:ascii="Arial" w:eastAsia="Arial" w:hAnsi="Arial" w:cs="Arial"/>
          <w:color w:val="002060"/>
          <w:sz w:val="20"/>
          <w:szCs w:val="20"/>
          <w:highlight w:val="white"/>
        </w:rPr>
        <w:tab/>
      </w:r>
      <w:r>
        <w:rPr>
          <w:rFonts w:ascii="Arial" w:eastAsia="Arial" w:hAnsi="Arial" w:cs="Arial"/>
          <w:color w:val="002060"/>
          <w:sz w:val="20"/>
          <w:szCs w:val="20"/>
          <w:highlight w:val="white"/>
        </w:rPr>
        <w:tab/>
        <w:t xml:space="preserve">Unidad Socio Ambiental </w:t>
      </w:r>
    </w:p>
    <w:p w14:paraId="60C2ECB0"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USCUSS</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Uso de Suelo, Cambio de Uso del Suelo y Silvicultura</w:t>
      </w:r>
    </w:p>
    <w:p w14:paraId="30FEF58E"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VAB</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Valor Agregado Bruto</w:t>
      </w:r>
    </w:p>
    <w:p w14:paraId="401F055A"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VAP</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Valor Agregado de Producción </w:t>
      </w:r>
    </w:p>
    <w:p w14:paraId="011D3374"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ZAE</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Zonificación Ambiental Ecológica</w:t>
      </w:r>
    </w:p>
    <w:p w14:paraId="584B8FE1"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ZEE</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Zonificación Ecológica Económica</w:t>
      </w:r>
    </w:p>
    <w:p w14:paraId="65DB810E" w14:textId="77777777" w:rsidR="00B50826" w:rsidRDefault="00006AE2">
      <w:pPr>
        <w:spacing w:line="276" w:lineRule="auto"/>
        <w:ind w:left="576"/>
        <w:rPr>
          <w:rFonts w:ascii="Arial" w:eastAsia="Arial" w:hAnsi="Arial" w:cs="Arial"/>
          <w:color w:val="002060"/>
          <w:sz w:val="20"/>
          <w:szCs w:val="20"/>
        </w:rPr>
      </w:pPr>
      <w:r>
        <w:rPr>
          <w:rFonts w:ascii="Arial" w:eastAsia="Arial" w:hAnsi="Arial" w:cs="Arial"/>
          <w:color w:val="002060"/>
          <w:sz w:val="20"/>
          <w:szCs w:val="20"/>
        </w:rPr>
        <w:t>ZF</w:t>
      </w:r>
      <w:r>
        <w:rPr>
          <w:rFonts w:ascii="Arial" w:eastAsia="Arial" w:hAnsi="Arial" w:cs="Arial"/>
          <w:color w:val="002060"/>
          <w:sz w:val="20"/>
          <w:szCs w:val="20"/>
        </w:rPr>
        <w:tab/>
      </w:r>
      <w:r>
        <w:rPr>
          <w:rFonts w:ascii="Arial" w:eastAsia="Arial" w:hAnsi="Arial" w:cs="Arial"/>
          <w:color w:val="002060"/>
          <w:sz w:val="20"/>
          <w:szCs w:val="20"/>
        </w:rPr>
        <w:tab/>
      </w:r>
      <w:r>
        <w:rPr>
          <w:rFonts w:ascii="Arial" w:eastAsia="Arial" w:hAnsi="Arial" w:cs="Arial"/>
          <w:color w:val="002060"/>
          <w:sz w:val="20"/>
          <w:szCs w:val="20"/>
        </w:rPr>
        <w:tab/>
        <w:t xml:space="preserve">Zonificación Forestal </w:t>
      </w:r>
    </w:p>
    <w:p w14:paraId="30F2E4FB" w14:textId="77777777" w:rsidR="00B50826" w:rsidRDefault="00B50826">
      <w:pPr>
        <w:rPr>
          <w:color w:val="002060"/>
        </w:rPr>
      </w:pPr>
    </w:p>
    <w:p w14:paraId="7147446D" w14:textId="77777777" w:rsidR="00B50826" w:rsidRDefault="00B50826">
      <w:pPr>
        <w:rPr>
          <w:color w:val="002060"/>
        </w:rPr>
      </w:pPr>
    </w:p>
    <w:p w14:paraId="5619023B" w14:textId="77777777" w:rsidR="00B50826" w:rsidRDefault="00B50826">
      <w:pPr>
        <w:rPr>
          <w:color w:val="002060"/>
        </w:rPr>
      </w:pPr>
    </w:p>
    <w:p w14:paraId="18777C5C" w14:textId="77777777" w:rsidR="00B50826" w:rsidRDefault="00B50826">
      <w:pPr>
        <w:rPr>
          <w:color w:val="002060"/>
        </w:rPr>
      </w:pPr>
    </w:p>
    <w:p w14:paraId="3AEA909E" w14:textId="77777777" w:rsidR="00B50826" w:rsidRDefault="00B50826">
      <w:pPr>
        <w:rPr>
          <w:color w:val="002060"/>
        </w:rPr>
      </w:pPr>
    </w:p>
    <w:p w14:paraId="53BAC3E8" w14:textId="77777777" w:rsidR="00B50826" w:rsidRDefault="00B50826">
      <w:pPr>
        <w:rPr>
          <w:color w:val="002060"/>
        </w:rPr>
      </w:pPr>
    </w:p>
    <w:p w14:paraId="3EFA7233" w14:textId="77777777" w:rsidR="00B50826" w:rsidRDefault="00B50826">
      <w:pPr>
        <w:rPr>
          <w:color w:val="002060"/>
        </w:rPr>
      </w:pPr>
    </w:p>
    <w:p w14:paraId="28FBDCFB" w14:textId="77777777" w:rsidR="00B50826" w:rsidRDefault="00B50826">
      <w:pPr>
        <w:rPr>
          <w:color w:val="002060"/>
        </w:rPr>
      </w:pPr>
    </w:p>
    <w:p w14:paraId="6159437A" w14:textId="77777777" w:rsidR="00B50826" w:rsidRDefault="00B50826">
      <w:pPr>
        <w:rPr>
          <w:color w:val="002060"/>
        </w:rPr>
      </w:pPr>
    </w:p>
    <w:p w14:paraId="387E854C" w14:textId="77777777" w:rsidR="00B50826" w:rsidRDefault="00B50826">
      <w:pPr>
        <w:rPr>
          <w:color w:val="002060"/>
        </w:rPr>
      </w:pPr>
    </w:p>
    <w:p w14:paraId="68CC969D" w14:textId="77777777" w:rsidR="00B50826" w:rsidRDefault="00B50826">
      <w:pPr>
        <w:rPr>
          <w:color w:val="002060"/>
        </w:rPr>
      </w:pPr>
    </w:p>
    <w:p w14:paraId="0BBAF55B" w14:textId="77777777" w:rsidR="00B50826" w:rsidRDefault="00B50826">
      <w:pPr>
        <w:rPr>
          <w:color w:val="002060"/>
        </w:rPr>
      </w:pPr>
    </w:p>
    <w:p w14:paraId="1E636240" w14:textId="77777777" w:rsidR="00B50826" w:rsidRDefault="00B50826">
      <w:pPr>
        <w:rPr>
          <w:color w:val="002060"/>
        </w:rPr>
      </w:pPr>
    </w:p>
    <w:p w14:paraId="65BD01F2" w14:textId="77777777" w:rsidR="00B50826" w:rsidRDefault="00B50826">
      <w:pPr>
        <w:rPr>
          <w:color w:val="002060"/>
        </w:rPr>
      </w:pPr>
    </w:p>
    <w:p w14:paraId="1F0092CF" w14:textId="77777777" w:rsidR="00B50826" w:rsidRDefault="00B50826">
      <w:pPr>
        <w:rPr>
          <w:color w:val="002060"/>
        </w:rPr>
      </w:pPr>
    </w:p>
    <w:p w14:paraId="740CC645" w14:textId="77777777" w:rsidR="00B50826" w:rsidRDefault="00B50826">
      <w:pPr>
        <w:rPr>
          <w:color w:val="002060"/>
        </w:rPr>
      </w:pPr>
    </w:p>
    <w:p w14:paraId="291F3250" w14:textId="77777777" w:rsidR="00B50826" w:rsidRDefault="00B50826">
      <w:pPr>
        <w:rPr>
          <w:color w:val="002060"/>
        </w:rPr>
      </w:pPr>
    </w:p>
    <w:p w14:paraId="2CD9FA9C" w14:textId="77777777" w:rsidR="00B50826" w:rsidRDefault="00B50826">
      <w:pPr>
        <w:rPr>
          <w:color w:val="002060"/>
        </w:rPr>
      </w:pPr>
    </w:p>
    <w:p w14:paraId="416FFA74" w14:textId="77777777" w:rsidR="00B50826" w:rsidRDefault="00B50826">
      <w:pPr>
        <w:rPr>
          <w:color w:val="002060"/>
        </w:rPr>
      </w:pPr>
    </w:p>
    <w:p w14:paraId="7FE80E6D" w14:textId="77777777" w:rsidR="00B50826" w:rsidRDefault="00B50826">
      <w:pPr>
        <w:rPr>
          <w:color w:val="002060"/>
        </w:rPr>
      </w:pPr>
    </w:p>
    <w:p w14:paraId="047E6715" w14:textId="77777777" w:rsidR="00B50826" w:rsidRDefault="00B50826">
      <w:pPr>
        <w:rPr>
          <w:color w:val="002060"/>
        </w:rPr>
      </w:pPr>
    </w:p>
    <w:p w14:paraId="0045514C" w14:textId="77777777" w:rsidR="00B50826" w:rsidRDefault="00B50826">
      <w:pPr>
        <w:rPr>
          <w:color w:val="002060"/>
        </w:rPr>
      </w:pPr>
    </w:p>
    <w:p w14:paraId="7E4C7AB7" w14:textId="77777777" w:rsidR="00B50826" w:rsidRDefault="00B50826">
      <w:pPr>
        <w:rPr>
          <w:color w:val="002060"/>
        </w:rPr>
      </w:pPr>
    </w:p>
    <w:p w14:paraId="570CC1D5" w14:textId="77777777" w:rsidR="00B50826" w:rsidRDefault="00B50826">
      <w:pPr>
        <w:rPr>
          <w:color w:val="002060"/>
        </w:rPr>
      </w:pPr>
    </w:p>
    <w:p w14:paraId="1F74DA47" w14:textId="77777777" w:rsidR="00B50826" w:rsidRDefault="00B50826">
      <w:pPr>
        <w:rPr>
          <w:color w:val="002060"/>
        </w:rPr>
      </w:pPr>
    </w:p>
    <w:p w14:paraId="60E69DB9" w14:textId="77777777" w:rsidR="00B50826" w:rsidRDefault="00B50826">
      <w:pPr>
        <w:rPr>
          <w:color w:val="002060"/>
        </w:rPr>
      </w:pPr>
    </w:p>
    <w:p w14:paraId="0A3DAA70" w14:textId="77777777" w:rsidR="00B50826" w:rsidRDefault="00B50826">
      <w:pPr>
        <w:rPr>
          <w:color w:val="002060"/>
        </w:rPr>
      </w:pPr>
    </w:p>
    <w:p w14:paraId="7AC03133" w14:textId="77777777" w:rsidR="00453C18" w:rsidRDefault="00453C18">
      <w:pPr>
        <w:rPr>
          <w:color w:val="002060"/>
        </w:rPr>
      </w:pPr>
    </w:p>
    <w:p w14:paraId="3A2C594E" w14:textId="77777777" w:rsidR="00453C18" w:rsidRDefault="00453C18">
      <w:pPr>
        <w:rPr>
          <w:color w:val="002060"/>
        </w:rPr>
      </w:pPr>
    </w:p>
    <w:p w14:paraId="526ACED7" w14:textId="77777777" w:rsidR="00453C18" w:rsidRDefault="00453C18">
      <w:pPr>
        <w:rPr>
          <w:color w:val="002060"/>
        </w:rPr>
      </w:pPr>
    </w:p>
    <w:p w14:paraId="668DEF36" w14:textId="77777777" w:rsidR="00453C18" w:rsidRDefault="00453C18">
      <w:pPr>
        <w:rPr>
          <w:color w:val="002060"/>
        </w:rPr>
      </w:pPr>
    </w:p>
    <w:p w14:paraId="6E1ED40A" w14:textId="77777777" w:rsidR="00453C18" w:rsidRDefault="00453C18">
      <w:pPr>
        <w:rPr>
          <w:color w:val="002060"/>
        </w:rPr>
      </w:pPr>
    </w:p>
    <w:p w14:paraId="2FB97347" w14:textId="77777777" w:rsidR="00453C18" w:rsidRDefault="00453C18">
      <w:pPr>
        <w:rPr>
          <w:color w:val="002060"/>
        </w:rPr>
      </w:pPr>
    </w:p>
    <w:p w14:paraId="78883724" w14:textId="77777777" w:rsidR="00453C18" w:rsidRDefault="00453C18">
      <w:pPr>
        <w:rPr>
          <w:color w:val="002060"/>
        </w:rPr>
      </w:pPr>
    </w:p>
    <w:p w14:paraId="1CB863CE" w14:textId="77777777" w:rsidR="00453C18" w:rsidRDefault="00453C18">
      <w:pPr>
        <w:rPr>
          <w:color w:val="002060"/>
        </w:rPr>
      </w:pPr>
    </w:p>
    <w:p w14:paraId="68D995E6" w14:textId="77777777" w:rsidR="00B50826" w:rsidRDefault="00B50826">
      <w:pPr>
        <w:rPr>
          <w:color w:val="002060"/>
        </w:rPr>
      </w:pPr>
    </w:p>
    <w:p w14:paraId="7E587E01" w14:textId="77777777" w:rsidR="00B50826" w:rsidRDefault="00B50826">
      <w:pPr>
        <w:rPr>
          <w:color w:val="002060"/>
        </w:rPr>
      </w:pPr>
    </w:p>
    <w:p w14:paraId="23E6EA52" w14:textId="77777777" w:rsidR="00B50826" w:rsidRDefault="00B50826">
      <w:pPr>
        <w:rPr>
          <w:color w:val="002060"/>
        </w:rPr>
      </w:pPr>
    </w:p>
    <w:p w14:paraId="6CB80C4D" w14:textId="77777777" w:rsidR="00B50826" w:rsidRDefault="00B50826">
      <w:pPr>
        <w:rPr>
          <w:color w:val="002060"/>
        </w:rPr>
      </w:pPr>
    </w:p>
    <w:p w14:paraId="6BBCCEDF" w14:textId="77777777" w:rsidR="00B50826" w:rsidRDefault="00B50826">
      <w:pPr>
        <w:rPr>
          <w:color w:val="002060"/>
        </w:rPr>
      </w:pPr>
    </w:p>
    <w:p w14:paraId="4559263D" w14:textId="77777777" w:rsidR="00B50826" w:rsidRDefault="00B50826">
      <w:pPr>
        <w:rPr>
          <w:color w:val="002060"/>
        </w:rPr>
      </w:pPr>
    </w:p>
    <w:p w14:paraId="081CDB4A"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sz w:val="28"/>
          <w:szCs w:val="28"/>
        </w:rPr>
      </w:pPr>
      <w:r>
        <w:rPr>
          <w:rFonts w:ascii="Arial" w:eastAsia="Arial" w:hAnsi="Arial" w:cs="Arial"/>
          <w:b/>
          <w:color w:val="002060"/>
          <w:sz w:val="28"/>
          <w:szCs w:val="28"/>
        </w:rPr>
        <w:lastRenderedPageBreak/>
        <w:t>Presentación</w:t>
      </w:r>
    </w:p>
    <w:p w14:paraId="5615534A" w14:textId="77777777" w:rsidR="00B50826" w:rsidRDefault="00B50826">
      <w:pPr>
        <w:rPr>
          <w:rFonts w:ascii="Arial" w:eastAsia="Arial" w:hAnsi="Arial" w:cs="Arial"/>
          <w:b/>
          <w:color w:val="002060"/>
        </w:rPr>
      </w:pPr>
    </w:p>
    <w:p w14:paraId="0B291A93"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 xml:space="preserve">El 2020 inició con el reconocimiento de la primera área de conservación regional de Huánuco “Bosque Montano Carpish” casi cincuenta y cinco años después de la creación del primer parque nacional en nuestra región, el Parque Nacional Tingo María. Este hito es importante porque por primera vez el Gobierno Regional de Huánuco será responsable directo de cuidar, junto a los ciudadanos que viven en esta área, más de 50,559 hectáreas de bosques que serán una gran oportunidad para el turismo, mejorar el conocimiento de nuestras riquezas naturales y mejorar el bienestar de las comunidades locales. </w:t>
      </w:r>
    </w:p>
    <w:p w14:paraId="42ED20F7" w14:textId="77777777" w:rsidR="00B50826" w:rsidRDefault="00B50826">
      <w:pPr>
        <w:pBdr>
          <w:top w:val="nil"/>
          <w:left w:val="nil"/>
          <w:bottom w:val="nil"/>
          <w:right w:val="nil"/>
          <w:between w:val="nil"/>
        </w:pBdr>
        <w:jc w:val="both"/>
        <w:rPr>
          <w:rFonts w:ascii="Arial" w:eastAsia="Arial" w:hAnsi="Arial" w:cs="Arial"/>
          <w:color w:val="002060"/>
          <w:sz w:val="20"/>
          <w:szCs w:val="20"/>
          <w:highlight w:val="white"/>
        </w:rPr>
      </w:pPr>
    </w:p>
    <w:p w14:paraId="1E1679FA"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 xml:space="preserve">Sin embargo no todas son buenas noticias. El 2020 también ha traído retos importantes para Huánuco. El Covid-19 y nuestros limitados servicios públicos, producto de años de olvido, nos han llevado a una situación de emergencia que requiere hoy lo mejor de todos y todas. Este escenario nos ha retado y llevado a replantearnos como el Estado debe acercarse a los ciudadanos, prepararse para futuras crisis y cuidar nuestros recursos. Además nos ha puesto en una compleja situación en la que debemos repensar cómo reactivar nuestras actividades productivas en un nuevo escenario al que se le suma además el cambio climático. </w:t>
      </w:r>
    </w:p>
    <w:p w14:paraId="5F5221EB" w14:textId="77777777" w:rsidR="00B50826" w:rsidRDefault="00B50826">
      <w:pPr>
        <w:pBdr>
          <w:top w:val="nil"/>
          <w:left w:val="nil"/>
          <w:bottom w:val="nil"/>
          <w:right w:val="nil"/>
          <w:between w:val="nil"/>
        </w:pBdr>
        <w:jc w:val="both"/>
        <w:rPr>
          <w:rFonts w:ascii="Arial" w:eastAsia="Arial" w:hAnsi="Arial" w:cs="Arial"/>
          <w:color w:val="002060"/>
          <w:sz w:val="20"/>
          <w:szCs w:val="20"/>
          <w:highlight w:val="white"/>
        </w:rPr>
      </w:pPr>
    </w:p>
    <w:p w14:paraId="6CEC13C1"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Bajo este contexto presentamos hoy, la Estrategia Regional de Desarrollo Rural Bosques y Cambio Climático “</w:t>
      </w:r>
      <w:r>
        <w:rPr>
          <w:rFonts w:ascii="Arial" w:eastAsia="Arial" w:hAnsi="Arial" w:cs="Arial"/>
          <w:i/>
          <w:color w:val="002060"/>
          <w:sz w:val="20"/>
          <w:szCs w:val="20"/>
          <w:highlight w:val="white"/>
        </w:rPr>
        <w:t>Bienestar, producción sostenible y conservación de nuestros bosques para todos y todas</w:t>
      </w:r>
      <w:r>
        <w:rPr>
          <w:rFonts w:ascii="Arial" w:eastAsia="Arial" w:hAnsi="Arial" w:cs="Arial"/>
          <w:color w:val="002060"/>
          <w:sz w:val="20"/>
          <w:szCs w:val="20"/>
          <w:highlight w:val="white"/>
        </w:rPr>
        <w:t xml:space="preserve">” que propone como mejorar el bienestar de la población rural de Huánuco a partir de la conservación y recuperación de los bosques amazónicos, la producción sostenible y competitiva regional baja en emisiones, y mejora de los medios de vida. Esta estrategia tiene un horizonte al 2030, está articulada con las políticas nacionales y los objetivos de desarrollo sostenible (ODS), y describe cómo cumpliremos con los diferentes compromisos que hemos adoptado a nivel internacional en el marco del Grupo de Trabajo de los Gobernadores por los Bosques y el Clima (GCF-TF) y la Contribución Nacionalmente Determinada (NDC) por el Gobierno Peruano ante la Convención Marco de Naciones Unidas frente al Cambio Climático. </w:t>
      </w:r>
    </w:p>
    <w:p w14:paraId="37BEB5B8" w14:textId="77777777" w:rsidR="00B50826" w:rsidRDefault="00B50826">
      <w:pPr>
        <w:pBdr>
          <w:top w:val="nil"/>
          <w:left w:val="nil"/>
          <w:bottom w:val="nil"/>
          <w:right w:val="nil"/>
          <w:between w:val="nil"/>
        </w:pBdr>
        <w:jc w:val="both"/>
        <w:rPr>
          <w:rFonts w:ascii="Arial" w:eastAsia="Arial" w:hAnsi="Arial" w:cs="Arial"/>
          <w:color w:val="002060"/>
          <w:sz w:val="20"/>
          <w:szCs w:val="20"/>
          <w:highlight w:val="white"/>
        </w:rPr>
      </w:pPr>
    </w:p>
    <w:p w14:paraId="2A4E2F2F"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Esta Estrat</w:t>
      </w:r>
      <w:r w:rsidR="00716EFA">
        <w:rPr>
          <w:rFonts w:ascii="Arial" w:eastAsia="Arial" w:hAnsi="Arial" w:cs="Arial"/>
          <w:color w:val="002060"/>
          <w:sz w:val="20"/>
          <w:szCs w:val="20"/>
          <w:highlight w:val="white"/>
        </w:rPr>
        <w:t>e</w:t>
      </w:r>
      <w:r>
        <w:rPr>
          <w:rFonts w:ascii="Arial" w:eastAsia="Arial" w:hAnsi="Arial" w:cs="Arial"/>
          <w:color w:val="002060"/>
          <w:sz w:val="20"/>
          <w:szCs w:val="20"/>
          <w:highlight w:val="white"/>
        </w:rPr>
        <w:t xml:space="preserve">gia es también una invitación para todos y todas a apostar por un futuro mejor para nuestra región: municipios, gobierno nacional, empresas, mujeres rurales, jóvenes, investigadores, docentes, ciudadanos de los pueblos indígenas, productores. Por ello, propone acciones para el territorio de nuestra región con cobertura de bosques que pueden ser implementadas por el estado y por los ciudadanos, empresa o cooperación. Es innovadora porque se ha diseñado con un enfoque de territorio logrando proponer paquetes de trabajo adaptados a la diversidad de ciudadanos de nuestra región entendiendo sus necesidades y oportunidades específicas. </w:t>
      </w:r>
    </w:p>
    <w:p w14:paraId="1474E1AA" w14:textId="77777777" w:rsidR="00B50826" w:rsidRDefault="00B50826">
      <w:pPr>
        <w:pBdr>
          <w:top w:val="nil"/>
          <w:left w:val="nil"/>
          <w:bottom w:val="nil"/>
          <w:right w:val="nil"/>
          <w:between w:val="nil"/>
        </w:pBdr>
        <w:jc w:val="both"/>
        <w:rPr>
          <w:rFonts w:ascii="Arial" w:eastAsia="Arial" w:hAnsi="Arial" w:cs="Arial"/>
          <w:color w:val="002060"/>
          <w:sz w:val="20"/>
          <w:szCs w:val="20"/>
          <w:highlight w:val="white"/>
        </w:rPr>
      </w:pPr>
    </w:p>
    <w:p w14:paraId="6301E416"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 xml:space="preserve">Por ello los invitamos a leerla y a ser parte de su implementación. </w:t>
      </w:r>
    </w:p>
    <w:p w14:paraId="5A981C12" w14:textId="77777777" w:rsidR="00B50826" w:rsidRDefault="00B50826">
      <w:pPr>
        <w:pBdr>
          <w:top w:val="nil"/>
          <w:left w:val="nil"/>
          <w:bottom w:val="nil"/>
          <w:right w:val="nil"/>
          <w:between w:val="nil"/>
        </w:pBdr>
        <w:jc w:val="both"/>
        <w:rPr>
          <w:rFonts w:ascii="Arial" w:eastAsia="Arial" w:hAnsi="Arial" w:cs="Arial"/>
          <w:color w:val="002060"/>
          <w:sz w:val="20"/>
          <w:szCs w:val="20"/>
          <w:highlight w:val="white"/>
        </w:rPr>
      </w:pPr>
    </w:p>
    <w:p w14:paraId="1879D6F4" w14:textId="77777777" w:rsidR="00B50826" w:rsidRDefault="00B50826">
      <w:pPr>
        <w:pBdr>
          <w:top w:val="nil"/>
          <w:left w:val="nil"/>
          <w:bottom w:val="nil"/>
          <w:right w:val="nil"/>
          <w:between w:val="nil"/>
        </w:pBdr>
        <w:jc w:val="both"/>
        <w:rPr>
          <w:rFonts w:ascii="Arial" w:eastAsia="Arial" w:hAnsi="Arial" w:cs="Arial"/>
          <w:color w:val="002060"/>
          <w:sz w:val="20"/>
          <w:szCs w:val="20"/>
          <w:highlight w:val="white"/>
        </w:rPr>
      </w:pPr>
    </w:p>
    <w:p w14:paraId="1537FE26" w14:textId="77777777" w:rsidR="00B50826" w:rsidRDefault="00006AE2">
      <w:pPr>
        <w:pBdr>
          <w:top w:val="nil"/>
          <w:left w:val="nil"/>
          <w:bottom w:val="nil"/>
          <w:right w:val="nil"/>
          <w:between w:val="nil"/>
        </w:pBdr>
        <w:ind w:hanging="720"/>
        <w:rPr>
          <w:rFonts w:ascii="Arial" w:eastAsia="Arial" w:hAnsi="Arial" w:cs="Arial"/>
          <w:b/>
          <w:color w:val="002060"/>
        </w:rPr>
      </w:pPr>
      <w:r>
        <w:rPr>
          <w:rFonts w:ascii="Arial" w:eastAsia="Arial" w:hAnsi="Arial" w:cs="Arial"/>
          <w:b/>
          <w:color w:val="002060"/>
        </w:rPr>
        <w:t xml:space="preserve">                                   </w:t>
      </w:r>
    </w:p>
    <w:p w14:paraId="201DB16D" w14:textId="77777777" w:rsidR="00B50826" w:rsidRDefault="00006AE2">
      <w:pPr>
        <w:pBdr>
          <w:top w:val="nil"/>
          <w:left w:val="nil"/>
          <w:bottom w:val="nil"/>
          <w:right w:val="nil"/>
          <w:between w:val="nil"/>
        </w:pBdr>
        <w:ind w:hanging="720"/>
        <w:jc w:val="center"/>
        <w:rPr>
          <w:rFonts w:ascii="Arial" w:eastAsia="Arial" w:hAnsi="Arial" w:cs="Arial"/>
          <w:b/>
          <w:color w:val="002060"/>
        </w:rPr>
      </w:pPr>
      <w:r>
        <w:rPr>
          <w:rFonts w:ascii="Arial" w:eastAsia="Arial" w:hAnsi="Arial" w:cs="Arial"/>
          <w:b/>
          <w:color w:val="002060"/>
        </w:rPr>
        <w:t xml:space="preserve">                                                                                         </w:t>
      </w:r>
      <w:r>
        <w:rPr>
          <w:noProof/>
        </w:rPr>
        <w:drawing>
          <wp:inline distT="114300" distB="114300" distL="114300" distR="114300" wp14:anchorId="65E33754" wp14:editId="58CE8BCC">
            <wp:extent cx="1969770" cy="457835"/>
            <wp:effectExtent l="0" t="0" r="0" b="0"/>
            <wp:docPr id="2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1969899" cy="458116"/>
                    </a:xfrm>
                    <a:prstGeom prst="rect">
                      <a:avLst/>
                    </a:prstGeom>
                    <a:ln/>
                  </pic:spPr>
                </pic:pic>
              </a:graphicData>
            </a:graphic>
          </wp:inline>
        </w:drawing>
      </w:r>
      <w:r>
        <w:rPr>
          <w:rFonts w:ascii="Arial" w:eastAsia="Arial" w:hAnsi="Arial" w:cs="Arial"/>
          <w:b/>
          <w:color w:val="002060"/>
        </w:rPr>
        <w:t xml:space="preserve">    </w:t>
      </w:r>
    </w:p>
    <w:p w14:paraId="2E2C703A" w14:textId="77777777" w:rsidR="00B50826" w:rsidRDefault="00B50826">
      <w:pPr>
        <w:pBdr>
          <w:top w:val="nil"/>
          <w:left w:val="nil"/>
          <w:bottom w:val="nil"/>
          <w:right w:val="nil"/>
          <w:between w:val="nil"/>
        </w:pBdr>
        <w:ind w:hanging="720"/>
        <w:rPr>
          <w:rFonts w:ascii="Arial" w:eastAsia="Arial" w:hAnsi="Arial" w:cs="Arial"/>
          <w:b/>
          <w:color w:val="002060"/>
        </w:rPr>
      </w:pPr>
    </w:p>
    <w:p w14:paraId="79DA1B70" w14:textId="77777777" w:rsidR="00B50826" w:rsidRDefault="00B50826">
      <w:pPr>
        <w:pBdr>
          <w:top w:val="nil"/>
          <w:left w:val="nil"/>
          <w:bottom w:val="nil"/>
          <w:right w:val="nil"/>
          <w:between w:val="nil"/>
        </w:pBdr>
        <w:ind w:hanging="720"/>
        <w:rPr>
          <w:rFonts w:ascii="Arial" w:eastAsia="Arial" w:hAnsi="Arial" w:cs="Arial"/>
          <w:b/>
          <w:color w:val="002060"/>
        </w:rPr>
      </w:pPr>
    </w:p>
    <w:p w14:paraId="3F5B84A2" w14:textId="77777777" w:rsidR="00B50826" w:rsidRDefault="00B50826">
      <w:pPr>
        <w:pBdr>
          <w:top w:val="nil"/>
          <w:left w:val="nil"/>
          <w:bottom w:val="nil"/>
          <w:right w:val="nil"/>
          <w:between w:val="nil"/>
        </w:pBdr>
        <w:ind w:hanging="720"/>
        <w:rPr>
          <w:rFonts w:ascii="Arial" w:eastAsia="Arial" w:hAnsi="Arial" w:cs="Arial"/>
          <w:b/>
          <w:color w:val="002060"/>
        </w:rPr>
      </w:pPr>
    </w:p>
    <w:p w14:paraId="34FC18E3" w14:textId="77777777" w:rsidR="00B50826" w:rsidRDefault="00B50826">
      <w:pPr>
        <w:pBdr>
          <w:top w:val="nil"/>
          <w:left w:val="nil"/>
          <w:bottom w:val="nil"/>
          <w:right w:val="nil"/>
          <w:between w:val="nil"/>
        </w:pBdr>
        <w:ind w:hanging="720"/>
        <w:rPr>
          <w:rFonts w:ascii="Arial" w:eastAsia="Arial" w:hAnsi="Arial" w:cs="Arial"/>
          <w:b/>
          <w:color w:val="002060"/>
        </w:rPr>
      </w:pPr>
    </w:p>
    <w:p w14:paraId="465394BB" w14:textId="77777777" w:rsidR="00B50826" w:rsidRDefault="00B50826">
      <w:pPr>
        <w:pBdr>
          <w:top w:val="nil"/>
          <w:left w:val="nil"/>
          <w:bottom w:val="nil"/>
          <w:right w:val="nil"/>
          <w:between w:val="nil"/>
        </w:pBdr>
        <w:ind w:hanging="720"/>
        <w:rPr>
          <w:rFonts w:ascii="Arial" w:eastAsia="Arial" w:hAnsi="Arial" w:cs="Arial"/>
          <w:b/>
          <w:color w:val="002060"/>
        </w:rPr>
      </w:pPr>
    </w:p>
    <w:p w14:paraId="0F7DA2BA" w14:textId="77777777" w:rsidR="00B50826" w:rsidRDefault="00B50826">
      <w:pPr>
        <w:pBdr>
          <w:top w:val="nil"/>
          <w:left w:val="nil"/>
          <w:bottom w:val="nil"/>
          <w:right w:val="nil"/>
          <w:between w:val="nil"/>
        </w:pBdr>
        <w:ind w:hanging="720"/>
        <w:rPr>
          <w:rFonts w:ascii="Arial" w:eastAsia="Arial" w:hAnsi="Arial" w:cs="Arial"/>
          <w:b/>
          <w:color w:val="002060"/>
        </w:rPr>
      </w:pPr>
    </w:p>
    <w:p w14:paraId="61D87669" w14:textId="77777777" w:rsidR="00B50826" w:rsidRDefault="00B50826">
      <w:pPr>
        <w:pBdr>
          <w:top w:val="nil"/>
          <w:left w:val="nil"/>
          <w:bottom w:val="nil"/>
          <w:right w:val="nil"/>
          <w:between w:val="nil"/>
        </w:pBdr>
        <w:ind w:hanging="720"/>
        <w:rPr>
          <w:rFonts w:ascii="Arial" w:eastAsia="Arial" w:hAnsi="Arial" w:cs="Arial"/>
          <w:b/>
          <w:color w:val="002060"/>
        </w:rPr>
      </w:pPr>
    </w:p>
    <w:p w14:paraId="484386DE" w14:textId="77777777" w:rsidR="00B50826" w:rsidRDefault="00B50826">
      <w:pPr>
        <w:pBdr>
          <w:top w:val="nil"/>
          <w:left w:val="nil"/>
          <w:bottom w:val="nil"/>
          <w:right w:val="nil"/>
          <w:between w:val="nil"/>
        </w:pBdr>
        <w:ind w:hanging="720"/>
        <w:rPr>
          <w:rFonts w:ascii="Arial" w:eastAsia="Arial" w:hAnsi="Arial" w:cs="Arial"/>
          <w:b/>
          <w:color w:val="002060"/>
        </w:rPr>
      </w:pPr>
    </w:p>
    <w:p w14:paraId="6199BBA0" w14:textId="77777777" w:rsidR="00B50826" w:rsidRDefault="00B50826">
      <w:pPr>
        <w:pBdr>
          <w:top w:val="nil"/>
          <w:left w:val="nil"/>
          <w:bottom w:val="nil"/>
          <w:right w:val="nil"/>
          <w:between w:val="nil"/>
        </w:pBdr>
        <w:ind w:hanging="720"/>
        <w:rPr>
          <w:rFonts w:ascii="Arial" w:eastAsia="Arial" w:hAnsi="Arial" w:cs="Arial"/>
          <w:b/>
          <w:color w:val="002060"/>
        </w:rPr>
      </w:pPr>
    </w:p>
    <w:p w14:paraId="61BFE62E" w14:textId="77777777" w:rsidR="00B50826" w:rsidRDefault="00B50826">
      <w:pPr>
        <w:pBdr>
          <w:top w:val="nil"/>
          <w:left w:val="nil"/>
          <w:bottom w:val="nil"/>
          <w:right w:val="nil"/>
          <w:between w:val="nil"/>
        </w:pBdr>
        <w:ind w:hanging="720"/>
        <w:rPr>
          <w:rFonts w:ascii="Arial" w:eastAsia="Arial" w:hAnsi="Arial" w:cs="Arial"/>
          <w:b/>
          <w:color w:val="002060"/>
        </w:rPr>
      </w:pPr>
    </w:p>
    <w:p w14:paraId="19EE529F" w14:textId="77777777" w:rsidR="00716EFA" w:rsidRDefault="00716EFA">
      <w:pPr>
        <w:pBdr>
          <w:top w:val="nil"/>
          <w:left w:val="nil"/>
          <w:bottom w:val="nil"/>
          <w:right w:val="nil"/>
          <w:between w:val="nil"/>
        </w:pBdr>
        <w:ind w:hanging="720"/>
        <w:rPr>
          <w:rFonts w:ascii="Arial" w:eastAsia="Arial" w:hAnsi="Arial" w:cs="Arial"/>
          <w:b/>
          <w:color w:val="002060"/>
        </w:rPr>
      </w:pPr>
    </w:p>
    <w:p w14:paraId="66E4646B" w14:textId="77777777" w:rsidR="00716EFA" w:rsidRDefault="00716EFA" w:rsidP="00716EFA">
      <w:pPr>
        <w:pBdr>
          <w:top w:val="nil"/>
          <w:left w:val="nil"/>
          <w:bottom w:val="nil"/>
          <w:right w:val="nil"/>
          <w:between w:val="nil"/>
        </w:pBdr>
        <w:rPr>
          <w:rFonts w:ascii="Arial" w:eastAsia="Arial" w:hAnsi="Arial" w:cs="Arial"/>
          <w:b/>
          <w:color w:val="002060"/>
          <w:sz w:val="28"/>
          <w:szCs w:val="28"/>
        </w:rPr>
      </w:pPr>
    </w:p>
    <w:p w14:paraId="62ED41B9"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sz w:val="28"/>
          <w:szCs w:val="28"/>
        </w:rPr>
      </w:pPr>
      <w:r>
        <w:rPr>
          <w:rFonts w:ascii="Arial" w:eastAsia="Arial" w:hAnsi="Arial" w:cs="Arial"/>
          <w:b/>
          <w:color w:val="002060"/>
          <w:sz w:val="28"/>
          <w:szCs w:val="28"/>
        </w:rPr>
        <w:lastRenderedPageBreak/>
        <w:t>Introducción</w:t>
      </w:r>
    </w:p>
    <w:p w14:paraId="42FF42C7" w14:textId="77777777" w:rsidR="00B50826" w:rsidRDefault="00B50826">
      <w:pPr>
        <w:pBdr>
          <w:top w:val="nil"/>
          <w:left w:val="nil"/>
          <w:bottom w:val="nil"/>
          <w:right w:val="nil"/>
          <w:between w:val="nil"/>
        </w:pBdr>
        <w:ind w:left="720"/>
        <w:rPr>
          <w:rFonts w:ascii="Arial" w:eastAsia="Arial" w:hAnsi="Arial" w:cs="Arial"/>
          <w:b/>
          <w:color w:val="002060"/>
        </w:rPr>
      </w:pPr>
    </w:p>
    <w:p w14:paraId="55B1ADB3" w14:textId="77777777" w:rsidR="00B50826" w:rsidRDefault="00006AE2">
      <w:pP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La Estrategia Regional de Desarrollo Rural bajo en Emisiones (ERDRB) es un instrumento de gestión territorial que describe la política pública regional para el ámbito amazónico de Huánuco que busca mejorar la calidad de vida de los pobladores rurales y reducir la deforestación de los bosques de nuestra región.</w:t>
      </w:r>
    </w:p>
    <w:p w14:paraId="1C618AF7" w14:textId="77777777" w:rsidR="00B50826" w:rsidRDefault="00B50826">
      <w:pPr>
        <w:jc w:val="both"/>
        <w:rPr>
          <w:rFonts w:ascii="Arial" w:eastAsia="Arial" w:hAnsi="Arial" w:cs="Arial"/>
          <w:color w:val="002060"/>
          <w:sz w:val="20"/>
          <w:szCs w:val="20"/>
          <w:highlight w:val="white"/>
        </w:rPr>
      </w:pPr>
    </w:p>
    <w:p w14:paraId="651CDE86" w14:textId="77777777" w:rsidR="00B50826" w:rsidRDefault="00006AE2">
      <w:pP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 xml:space="preserve">La ERDRB, en su componente de política pública regional, describe el problema que queremos abordar, propone el cambio o transformación esperada al 2030, y la ruta estratégica para conseguir este cambio a través de intervenciones específicas diseñadas con un enfoque territorial considerando la diversidad de nuestro territorio y población. Esta estrategia propone además un conjunto de salvaguardas para mitigar los  riesgos potenciales asociados a su implementación, un mecanismo de monitoreo para evaluar su cumplimiento, y  una estructura de gobernanza que permitirá implementar las intervenciones propuestas de manera transparente, colaborativa y sinérgica entre el sector público, en sus diferentes niveles de gobierno, y privado (pueblos indígenas, asociaciones productores, empresas, mujeres rurales, jóvenes emprendedores, entre otros). </w:t>
      </w:r>
    </w:p>
    <w:p w14:paraId="1F91AEBF" w14:textId="77777777" w:rsidR="00B50826" w:rsidRDefault="00B50826">
      <w:pPr>
        <w:jc w:val="both"/>
        <w:rPr>
          <w:rFonts w:ascii="Arial" w:eastAsia="Arial" w:hAnsi="Arial" w:cs="Arial"/>
          <w:color w:val="002060"/>
          <w:sz w:val="20"/>
          <w:szCs w:val="20"/>
          <w:highlight w:val="white"/>
        </w:rPr>
      </w:pPr>
    </w:p>
    <w:p w14:paraId="32E996BA" w14:textId="77777777" w:rsidR="00B50826" w:rsidRDefault="00006AE2">
      <w:pP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 xml:space="preserve">Nuestra estrategia se sustenta en un robusto análisis que nos permitirá entender: 1) cuáles son las causas y mecanismos de deforestación de los bosques de amazónicos de Huánuco, 2) qué barreras y limitaciones tiene la producción rural regional, 3) cuáles son las zonas potenciales para la producción sostenible regional, y 4) que dinámicas económicas, sociales y políticas debemos tener en cuenta para mejorar el bienestar en el ámbito rural, incrementa nuestra producción mientras mitigamos el cambio climático, y reducimos la pérdida de nuestros bosques. </w:t>
      </w:r>
    </w:p>
    <w:p w14:paraId="46482008" w14:textId="77777777" w:rsidR="00B50826" w:rsidRDefault="00B50826">
      <w:pPr>
        <w:jc w:val="both"/>
        <w:rPr>
          <w:rFonts w:ascii="Arial" w:eastAsia="Arial" w:hAnsi="Arial" w:cs="Arial"/>
          <w:color w:val="002060"/>
          <w:sz w:val="20"/>
          <w:szCs w:val="20"/>
          <w:highlight w:val="white"/>
        </w:rPr>
      </w:pPr>
    </w:p>
    <w:p w14:paraId="5801B12A" w14:textId="77777777" w:rsidR="00B50826" w:rsidRDefault="00DA052A">
      <w:pP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L</w:t>
      </w:r>
      <w:r w:rsidR="00006AE2">
        <w:rPr>
          <w:rFonts w:ascii="Arial" w:eastAsia="Arial" w:hAnsi="Arial" w:cs="Arial"/>
          <w:color w:val="002060"/>
          <w:sz w:val="20"/>
          <w:szCs w:val="20"/>
          <w:highlight w:val="white"/>
        </w:rPr>
        <w:t>a ERDRBE permitirá determinar cómo nuestra región contribuye con los objetivos de desarrollo sostenible – ODS,  la “Visión País al 2050” y la implementación de diferentes políticas nacionales como la política nacional agraria, la política nacional forestal y de fauna silvestre, la política nacional del ambiente e instrumentos de planificación como la estrategia nacional sobre cambio climático, la estrategia nacional sobre bosques y cambio climático, la estrategia nacional sobre diversidad biológica y su plan de acción, entre otros instrumentos. Asimismo esta estrategia mostrará la potencial contribución de Huánuco frente a diferentes compromisos internacionales como la declaración de Río Branco suscrita en el marco del GCF-TF, a la contribución nacionalmente determinada (NDC) y la declaración conjunta de intención firmada entre los gobiernos de Perú, Noruega y Alemania.</w:t>
      </w:r>
    </w:p>
    <w:p w14:paraId="53F6856D" w14:textId="77777777" w:rsidR="00B50826" w:rsidRDefault="00B50826">
      <w:pPr>
        <w:jc w:val="both"/>
        <w:rPr>
          <w:rFonts w:ascii="Arial" w:eastAsia="Arial" w:hAnsi="Arial" w:cs="Arial"/>
          <w:color w:val="002060"/>
          <w:sz w:val="20"/>
          <w:szCs w:val="20"/>
          <w:highlight w:val="white"/>
        </w:rPr>
      </w:pPr>
    </w:p>
    <w:p w14:paraId="33699964" w14:textId="77777777" w:rsidR="00A43B87" w:rsidRDefault="00A43B87" w:rsidP="003666A6">
      <w:pPr>
        <w:spacing w:line="276" w:lineRule="auto"/>
        <w:jc w:val="both"/>
        <w:rPr>
          <w:rFonts w:ascii="Arial" w:hAnsi="Arial" w:cs="Arial"/>
          <w:color w:val="FF0000"/>
          <w:sz w:val="20"/>
          <w:szCs w:val="20"/>
        </w:rPr>
      </w:pPr>
      <w:r w:rsidRPr="00AA2F8B">
        <w:rPr>
          <w:rFonts w:ascii="Arial" w:eastAsia="Arial" w:hAnsi="Arial" w:cs="Arial"/>
          <w:color w:val="002060"/>
          <w:sz w:val="20"/>
          <w:szCs w:val="20"/>
          <w:highlight w:val="white"/>
        </w:rPr>
        <w:t xml:space="preserve">De igual modo, </w:t>
      </w:r>
      <w:r w:rsidRPr="00AA2F8B">
        <w:rPr>
          <w:rFonts w:ascii="Arial" w:eastAsia="Arial" w:hAnsi="Arial" w:cs="Arial"/>
          <w:color w:val="002060"/>
          <w:sz w:val="20"/>
          <w:szCs w:val="20"/>
        </w:rPr>
        <w:t>e</w:t>
      </w:r>
      <w:r w:rsidRPr="00AA2F8B">
        <w:rPr>
          <w:rFonts w:ascii="Arial" w:hAnsi="Arial" w:cs="Arial"/>
          <w:color w:val="002060"/>
          <w:sz w:val="20"/>
          <w:szCs w:val="20"/>
        </w:rPr>
        <w:t>sta estrategia coadyuvará al Gobierno Regional Huánuco y gobiernos locales en el cumplimiento de los acuerdos y políticas territoriales plasmadas en el Acuerdo de Gobernabilidad Regional Huánuco</w:t>
      </w:r>
      <w:r w:rsidR="00A51281">
        <w:rPr>
          <w:rFonts w:ascii="Arial" w:hAnsi="Arial" w:cs="Arial"/>
          <w:color w:val="002060"/>
          <w:sz w:val="20"/>
          <w:szCs w:val="20"/>
        </w:rPr>
        <w:t>;</w:t>
      </w:r>
      <w:r w:rsidRPr="00AA2F8B">
        <w:rPr>
          <w:rFonts w:ascii="Arial" w:hAnsi="Arial" w:cs="Arial"/>
          <w:color w:val="002060"/>
          <w:sz w:val="20"/>
          <w:szCs w:val="20"/>
        </w:rPr>
        <w:t xml:space="preserve"> a nivel institucional, contribuirá al cumplimiento de las políticas institucionales y objetivos estratégicos del Gobierno Regional Huánuco, articuladas con las políticas y objetivos de los sectores, dentro de la mejora continua.</w:t>
      </w:r>
    </w:p>
    <w:p w14:paraId="752E4F4A" w14:textId="77777777" w:rsidR="00493524" w:rsidRDefault="00493524" w:rsidP="003666A6">
      <w:pPr>
        <w:spacing w:line="276" w:lineRule="auto"/>
        <w:jc w:val="both"/>
        <w:rPr>
          <w:rFonts w:ascii="Arial" w:hAnsi="Arial" w:cs="Arial"/>
          <w:color w:val="FF0000"/>
          <w:sz w:val="20"/>
          <w:szCs w:val="20"/>
        </w:rPr>
      </w:pPr>
    </w:p>
    <w:p w14:paraId="0CA4D268" w14:textId="77777777" w:rsidR="00B50826" w:rsidRPr="00493524" w:rsidRDefault="00006AE2">
      <w:pPr>
        <w:jc w:val="both"/>
        <w:rPr>
          <w:rFonts w:ascii="Arial" w:eastAsia="Arial" w:hAnsi="Arial" w:cs="Arial"/>
          <w:color w:val="002060"/>
          <w:sz w:val="20"/>
          <w:szCs w:val="20"/>
        </w:rPr>
      </w:pPr>
      <w:r w:rsidRPr="00493524">
        <w:rPr>
          <w:rFonts w:ascii="Arial" w:eastAsia="Arial" w:hAnsi="Arial" w:cs="Arial"/>
          <w:color w:val="002060"/>
          <w:sz w:val="20"/>
          <w:szCs w:val="20"/>
        </w:rPr>
        <w:t xml:space="preserve">La elaboración de ésta estrategia ha estado liderada por el gobierno regional, para ello se conformó el “Grupo de trabajo Regional” presidida por la Gerencia Regional, cuya secretaría es la Gerencia de Gestión ambiental y Recursos Naturales, como asesores tenemos a la Gerencia de Planeamiento, presupuesto y Acondicionamiento Territorial, la Gerencia de Desarrollo Económico y la Gerencia de Desarrollo Social, y como asesores técnicos participaron la Dirección Regional de Agricultura, Dirección Regional de Producción y la Dirección Regional de Comercio Exterior y  Turismo. </w:t>
      </w:r>
    </w:p>
    <w:p w14:paraId="2A289176" w14:textId="77777777" w:rsidR="00B50826" w:rsidRPr="00493524" w:rsidRDefault="00B50826">
      <w:pPr>
        <w:jc w:val="both"/>
        <w:rPr>
          <w:rFonts w:ascii="Arial" w:eastAsia="Arial" w:hAnsi="Arial" w:cs="Arial"/>
          <w:color w:val="002060"/>
          <w:sz w:val="20"/>
          <w:szCs w:val="20"/>
        </w:rPr>
      </w:pPr>
    </w:p>
    <w:p w14:paraId="71611FC0" w14:textId="77777777" w:rsidR="00493524" w:rsidRPr="00493524" w:rsidRDefault="005E1327">
      <w:pPr>
        <w:pBdr>
          <w:top w:val="nil"/>
          <w:left w:val="nil"/>
          <w:bottom w:val="nil"/>
          <w:right w:val="nil"/>
          <w:between w:val="nil"/>
        </w:pBdr>
        <w:jc w:val="both"/>
        <w:rPr>
          <w:rFonts w:ascii="Arial" w:eastAsia="Arial" w:hAnsi="Arial" w:cs="Arial"/>
          <w:color w:val="002060"/>
          <w:sz w:val="20"/>
          <w:szCs w:val="20"/>
        </w:rPr>
      </w:pPr>
      <w:r w:rsidRPr="00493524">
        <w:rPr>
          <w:rFonts w:ascii="Arial" w:eastAsia="Arial" w:hAnsi="Arial" w:cs="Arial"/>
          <w:color w:val="002060"/>
          <w:sz w:val="20"/>
          <w:szCs w:val="20"/>
        </w:rPr>
        <w:t>Cabe señalar que e</w:t>
      </w:r>
      <w:r w:rsidR="00006AE2" w:rsidRPr="00493524">
        <w:rPr>
          <w:rFonts w:ascii="Arial" w:eastAsia="Arial" w:hAnsi="Arial" w:cs="Arial"/>
          <w:color w:val="002060"/>
          <w:sz w:val="20"/>
          <w:szCs w:val="20"/>
        </w:rPr>
        <w:t>n la elaboración</w:t>
      </w:r>
      <w:r w:rsidRPr="00493524">
        <w:rPr>
          <w:rFonts w:ascii="Arial" w:eastAsia="Arial" w:hAnsi="Arial" w:cs="Arial"/>
          <w:color w:val="002060"/>
          <w:sz w:val="20"/>
          <w:szCs w:val="20"/>
        </w:rPr>
        <w:t>,</w:t>
      </w:r>
      <w:r w:rsidR="00006AE2" w:rsidRPr="00493524">
        <w:rPr>
          <w:rFonts w:ascii="Arial" w:eastAsia="Arial" w:hAnsi="Arial" w:cs="Arial"/>
          <w:color w:val="002060"/>
          <w:sz w:val="20"/>
          <w:szCs w:val="20"/>
        </w:rPr>
        <w:t xml:space="preserve"> han participado diversos actores de la sociedad civil,  representantes de organizaciones de productores, dirigentes y equipos técnicos de cooperativas agrarias, comunidades nativas y sus representantes en las federaciones, equipos técnicos del gobierno regional y gobiernos locales, diversos funcionarios públicos, entre otros; con el fin de recoger información de primaria, a fin de obtener una lectura real de la problemática y plantear soluciones que sean factibles y se ajusten a las prioridades, intereses y expectativas de la población rural</w:t>
      </w:r>
      <w:r w:rsidR="00493524" w:rsidRPr="00493524">
        <w:rPr>
          <w:rFonts w:ascii="Arial" w:eastAsia="Arial" w:hAnsi="Arial" w:cs="Arial"/>
          <w:color w:val="002060"/>
          <w:sz w:val="20"/>
          <w:szCs w:val="20"/>
        </w:rPr>
        <w:t xml:space="preserve"> las mismas que han sido plasmadas en este documento</w:t>
      </w:r>
      <w:r w:rsidR="00006AE2" w:rsidRPr="00493524">
        <w:rPr>
          <w:rFonts w:ascii="Arial" w:eastAsia="Arial" w:hAnsi="Arial" w:cs="Arial"/>
          <w:color w:val="002060"/>
          <w:sz w:val="20"/>
          <w:szCs w:val="20"/>
        </w:rPr>
        <w:t>.</w:t>
      </w:r>
      <w:r w:rsidR="00493524" w:rsidRPr="00493524">
        <w:rPr>
          <w:rFonts w:ascii="Arial" w:eastAsia="Arial" w:hAnsi="Arial" w:cs="Arial"/>
          <w:color w:val="002060"/>
          <w:sz w:val="20"/>
          <w:szCs w:val="20"/>
        </w:rPr>
        <w:t xml:space="preserve"> </w:t>
      </w:r>
      <w:r w:rsidR="00006AE2" w:rsidRPr="00493524">
        <w:rPr>
          <w:rFonts w:ascii="Arial" w:eastAsia="Arial" w:hAnsi="Arial" w:cs="Arial"/>
          <w:color w:val="002060"/>
          <w:sz w:val="20"/>
          <w:szCs w:val="20"/>
        </w:rPr>
        <w:t xml:space="preserve">Además, se realizaron visitas de coordinación a los representantes de los diversos niveles de gobierno, a fin de recabar información </w:t>
      </w:r>
    </w:p>
    <w:p w14:paraId="360BF852" w14:textId="77777777" w:rsidR="00493524" w:rsidRPr="00493524" w:rsidRDefault="00493524">
      <w:pPr>
        <w:pBdr>
          <w:top w:val="nil"/>
          <w:left w:val="nil"/>
          <w:bottom w:val="nil"/>
          <w:right w:val="nil"/>
          <w:between w:val="nil"/>
        </w:pBdr>
        <w:jc w:val="both"/>
        <w:rPr>
          <w:rFonts w:ascii="Arial" w:eastAsia="Arial" w:hAnsi="Arial" w:cs="Arial"/>
          <w:color w:val="002060"/>
          <w:sz w:val="20"/>
          <w:szCs w:val="20"/>
        </w:rPr>
      </w:pPr>
    </w:p>
    <w:p w14:paraId="0442271A" w14:textId="77777777" w:rsidR="00B50826" w:rsidRPr="00493524" w:rsidRDefault="00493524">
      <w:pPr>
        <w:pBdr>
          <w:top w:val="nil"/>
          <w:left w:val="nil"/>
          <w:bottom w:val="nil"/>
          <w:right w:val="nil"/>
          <w:between w:val="nil"/>
        </w:pBdr>
        <w:jc w:val="both"/>
        <w:rPr>
          <w:rFonts w:ascii="Arial" w:eastAsia="Arial" w:hAnsi="Arial" w:cs="Arial"/>
          <w:color w:val="002060"/>
          <w:sz w:val="20"/>
          <w:szCs w:val="20"/>
        </w:rPr>
      </w:pPr>
      <w:r w:rsidRPr="00493524">
        <w:rPr>
          <w:rFonts w:ascii="Arial" w:eastAsia="Arial" w:hAnsi="Arial" w:cs="Arial"/>
          <w:color w:val="002060"/>
          <w:sz w:val="20"/>
          <w:szCs w:val="20"/>
        </w:rPr>
        <w:t>F</w:t>
      </w:r>
      <w:r w:rsidR="00006AE2" w:rsidRPr="00493524">
        <w:rPr>
          <w:rFonts w:ascii="Arial" w:eastAsia="Arial" w:hAnsi="Arial" w:cs="Arial"/>
          <w:color w:val="002060"/>
          <w:sz w:val="20"/>
          <w:szCs w:val="20"/>
        </w:rPr>
        <w:t xml:space="preserve">inalmente esta estrategia ha sido validada en diferentes espacios, con la participación de diversos actores comprometidos con el desarrollo rural. </w:t>
      </w:r>
    </w:p>
    <w:p w14:paraId="78E2C498" w14:textId="77777777" w:rsidR="00B50826" w:rsidRDefault="00B6562C">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lastRenderedPageBreak/>
        <w:t>Justificación</w:t>
      </w:r>
    </w:p>
    <w:p w14:paraId="2E9CE53E" w14:textId="77777777" w:rsidR="00B50826" w:rsidRDefault="00B50826">
      <w:pPr>
        <w:rPr>
          <w:rFonts w:ascii="Arial" w:eastAsia="Arial" w:hAnsi="Arial" w:cs="Arial"/>
          <w:b/>
          <w:color w:val="002060"/>
        </w:rPr>
      </w:pPr>
    </w:p>
    <w:p w14:paraId="54135643"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bookmarkStart w:id="1" w:name="_heading=h.30j0zll" w:colFirst="0" w:colLast="0"/>
      <w:bookmarkEnd w:id="1"/>
      <w:r>
        <w:rPr>
          <w:rFonts w:ascii="Arial" w:eastAsia="Arial" w:hAnsi="Arial" w:cs="Arial"/>
          <w:color w:val="002060"/>
          <w:sz w:val="20"/>
          <w:szCs w:val="20"/>
        </w:rPr>
        <w:t>Los bosques albergan gran diversidad de flora y fauna, conforman ecosistemas de vital importancia para la sobrevivencia del hombre, brindan una amplia gama de servicios ecosistémicos, tanto para quienes los habitan o dependen de ellos para atender sus medios de vida, como para el planeta entero. Ellos captan y almacenan el carbono y contribuyen a la regulación del clima, sin embargo, recurrimos a su explotación practicando acciones destructivas como la tala ilegal y la deforestación. Cuando éstos son talados o destruidos, se libera al ambiente el carbono que almacena, por lo tanto, se colabora directamente con el cambio climático</w:t>
      </w:r>
      <w:r>
        <w:rPr>
          <w:rFonts w:ascii="Calibri" w:eastAsia="Calibri" w:hAnsi="Calibri" w:cs="Calibri"/>
          <w:color w:val="002060"/>
          <w:sz w:val="18"/>
          <w:szCs w:val="18"/>
          <w:vertAlign w:val="superscript"/>
        </w:rPr>
        <w:footnoteReference w:id="1"/>
      </w:r>
    </w:p>
    <w:p w14:paraId="04E120E9"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4BB83295" w14:textId="77777777" w:rsidR="00B50826" w:rsidRDefault="003E6205" w:rsidP="003E6205">
      <w:pPr>
        <w:jc w:val="both"/>
        <w:rPr>
          <w:rFonts w:ascii="Arial" w:eastAsia="Arial" w:hAnsi="Arial" w:cs="Arial"/>
          <w:color w:val="002060"/>
          <w:sz w:val="20"/>
          <w:szCs w:val="20"/>
          <w:vertAlign w:val="superscript"/>
        </w:rPr>
      </w:pPr>
      <w:r w:rsidRPr="003E6205">
        <w:rPr>
          <w:rFonts w:ascii="Arial" w:eastAsia="Arial" w:hAnsi="Arial" w:cs="Arial"/>
          <w:color w:val="002060"/>
          <w:sz w:val="20"/>
          <w:szCs w:val="20"/>
        </w:rPr>
        <w:t>La conservación de la biodiversidad depende de la forma en que interactuamos con los bosques y los utilizamos</w:t>
      </w:r>
      <w:r w:rsidRPr="003E6205">
        <w:rPr>
          <w:rFonts w:ascii="Arial" w:eastAsia="Arial" w:hAnsi="Arial" w:cs="Arial"/>
          <w:color w:val="002060"/>
          <w:sz w:val="20"/>
          <w:szCs w:val="20"/>
          <w:vertAlign w:val="superscript"/>
        </w:rPr>
        <w:footnoteReference w:id="2"/>
      </w:r>
      <w:r w:rsidRPr="003E6205">
        <w:rPr>
          <w:rFonts w:ascii="Arial" w:eastAsia="Arial" w:hAnsi="Arial" w:cs="Arial"/>
          <w:color w:val="002060"/>
          <w:sz w:val="20"/>
          <w:szCs w:val="20"/>
        </w:rPr>
        <w:t>, s</w:t>
      </w:r>
      <w:r w:rsidR="00006AE2">
        <w:rPr>
          <w:rFonts w:ascii="Arial" w:eastAsia="Arial" w:hAnsi="Arial" w:cs="Arial"/>
          <w:color w:val="002060"/>
          <w:sz w:val="20"/>
          <w:szCs w:val="20"/>
        </w:rPr>
        <w:t>u conservación es fundamental, bajo un enfoque de grandes paisajes forestales manejados de manera integrada, más allá del carbono. Ello, porque los bienes y servicios que nos proporcionan son evidentemente más amplios y diversos, incluyendo su papel protector en cuencas altas, tierras frágiles y márgenes de ríos y orillas, en los cuales cumplen un papel fundamental en reducir el riesgo de desastres y la severidad de los impactos por fenómenos naturales.</w:t>
      </w:r>
      <w:r w:rsidR="00006AE2">
        <w:rPr>
          <w:rFonts w:ascii="Arial" w:eastAsia="Arial" w:hAnsi="Arial" w:cs="Arial"/>
          <w:color w:val="002060"/>
          <w:sz w:val="20"/>
          <w:szCs w:val="20"/>
          <w:vertAlign w:val="superscript"/>
        </w:rPr>
        <w:footnoteReference w:id="3"/>
      </w:r>
      <w:r w:rsidR="00006AE2">
        <w:rPr>
          <w:rFonts w:ascii="Arial" w:eastAsia="Arial" w:hAnsi="Arial" w:cs="Arial"/>
          <w:color w:val="002060"/>
          <w:sz w:val="20"/>
          <w:szCs w:val="20"/>
          <w:vertAlign w:val="superscript"/>
        </w:rPr>
        <w:t>.</w:t>
      </w:r>
    </w:p>
    <w:p w14:paraId="747950D9" w14:textId="77777777" w:rsidR="00B50826" w:rsidRDefault="00B50826">
      <w:pPr>
        <w:pBdr>
          <w:top w:val="nil"/>
          <w:left w:val="nil"/>
          <w:bottom w:val="nil"/>
          <w:right w:val="nil"/>
          <w:between w:val="nil"/>
        </w:pBdr>
        <w:ind w:hanging="720"/>
        <w:rPr>
          <w:rFonts w:ascii="Arial" w:eastAsia="Arial" w:hAnsi="Arial" w:cs="Arial"/>
          <w:color w:val="002060"/>
          <w:sz w:val="20"/>
          <w:szCs w:val="20"/>
        </w:rPr>
      </w:pPr>
    </w:p>
    <w:p w14:paraId="6D1F830D" w14:textId="77777777" w:rsidR="00742C36" w:rsidRDefault="00742C36" w:rsidP="00742C36">
      <w:pPr>
        <w:pBdr>
          <w:top w:val="nil"/>
          <w:left w:val="nil"/>
          <w:bottom w:val="nil"/>
          <w:right w:val="nil"/>
          <w:between w:val="nil"/>
        </w:pBdr>
        <w:shd w:val="clear" w:color="auto" w:fill="FFFFFF"/>
        <w:jc w:val="both"/>
        <w:rPr>
          <w:rFonts w:ascii="Arial" w:eastAsia="Arial" w:hAnsi="Arial" w:cs="Arial"/>
          <w:color w:val="002060"/>
          <w:sz w:val="20"/>
          <w:szCs w:val="20"/>
        </w:rPr>
      </w:pPr>
      <w:r w:rsidRPr="00281636">
        <w:rPr>
          <w:rFonts w:ascii="Arial" w:eastAsia="Arial" w:hAnsi="Arial" w:cs="Arial"/>
          <w:color w:val="002060"/>
          <w:sz w:val="20"/>
          <w:szCs w:val="20"/>
        </w:rPr>
        <w:t xml:space="preserve">El comportamiento y la actividad humana alteran los ecosistemas, destruyen los hábitats de otras especies y reducen las barreras naturales entre éstas y nosotros aumentando la interacción y las oportunidades para que los virus y </w:t>
      </w:r>
      <w:r>
        <w:rPr>
          <w:rFonts w:ascii="Arial" w:eastAsia="Arial" w:hAnsi="Arial" w:cs="Arial"/>
          <w:color w:val="002060"/>
          <w:sz w:val="20"/>
          <w:szCs w:val="20"/>
        </w:rPr>
        <w:t xml:space="preserve">otros </w:t>
      </w:r>
      <w:r w:rsidRPr="00281636">
        <w:rPr>
          <w:rFonts w:ascii="Arial" w:eastAsia="Arial" w:hAnsi="Arial" w:cs="Arial"/>
          <w:color w:val="002060"/>
          <w:sz w:val="20"/>
          <w:szCs w:val="20"/>
        </w:rPr>
        <w:t>patógenos pasen de una especie a la otra</w:t>
      </w:r>
      <w:r>
        <w:rPr>
          <w:rFonts w:ascii="Arial" w:eastAsia="Arial" w:hAnsi="Arial" w:cs="Arial"/>
          <w:color w:val="002060"/>
          <w:sz w:val="20"/>
          <w:szCs w:val="20"/>
        </w:rPr>
        <w:t xml:space="preserve">, incrementándose los riesgos en la salud de la población. </w:t>
      </w:r>
    </w:p>
    <w:p w14:paraId="6CF36B0D" w14:textId="77777777" w:rsidR="003E6205" w:rsidRDefault="003E6205" w:rsidP="00742C36">
      <w:pPr>
        <w:pBdr>
          <w:top w:val="nil"/>
          <w:left w:val="nil"/>
          <w:bottom w:val="nil"/>
          <w:right w:val="nil"/>
          <w:between w:val="nil"/>
        </w:pBdr>
        <w:shd w:val="clear" w:color="auto" w:fill="FFFFFF"/>
        <w:jc w:val="both"/>
        <w:rPr>
          <w:rFonts w:ascii="Arial" w:eastAsia="Arial" w:hAnsi="Arial" w:cs="Arial"/>
          <w:color w:val="002060"/>
          <w:sz w:val="20"/>
          <w:szCs w:val="20"/>
        </w:rPr>
      </w:pPr>
    </w:p>
    <w:p w14:paraId="515ED020" w14:textId="77777777" w:rsidR="00B50826" w:rsidRDefault="00006AE2">
      <w:pPr>
        <w:shd w:val="clear" w:color="auto" w:fill="FFFFFF"/>
        <w:jc w:val="both"/>
        <w:rPr>
          <w:rFonts w:ascii="Arial" w:eastAsia="Arial" w:hAnsi="Arial" w:cs="Arial"/>
          <w:color w:val="002060"/>
          <w:sz w:val="20"/>
          <w:szCs w:val="20"/>
        </w:rPr>
      </w:pPr>
      <w:r w:rsidRPr="00E03C4A">
        <w:rPr>
          <w:rFonts w:ascii="Arial" w:eastAsia="Arial" w:hAnsi="Arial" w:cs="Arial"/>
          <w:color w:val="002060"/>
          <w:sz w:val="20"/>
          <w:szCs w:val="20"/>
        </w:rPr>
        <w:t xml:space="preserve">En el periodo 2001 al 2018 se han deforestado 319,123.77 ha, de bosque tropical en la Región Huánuco, área que representa el 20.42% </w:t>
      </w:r>
      <w:proofErr w:type="gramStart"/>
      <w:r w:rsidRPr="00E03C4A">
        <w:rPr>
          <w:rFonts w:ascii="Arial" w:eastAsia="Arial" w:hAnsi="Arial" w:cs="Arial"/>
          <w:color w:val="002060"/>
          <w:sz w:val="20"/>
          <w:szCs w:val="20"/>
        </w:rPr>
        <w:t>del  área</w:t>
      </w:r>
      <w:proofErr w:type="gramEnd"/>
      <w:r w:rsidRPr="00E03C4A">
        <w:rPr>
          <w:rFonts w:ascii="Arial" w:eastAsia="Arial" w:hAnsi="Arial" w:cs="Arial"/>
          <w:color w:val="002060"/>
          <w:sz w:val="20"/>
          <w:szCs w:val="20"/>
        </w:rPr>
        <w:t xml:space="preserve"> total de bosque existente (1´545,972 ha), este proceso de deforestación en el periodo 2001 – 2005 era en promedio  anual 14,160 has, sin embargo esta cifra se viene incrementado significativamente, siendo 20,900 ha deforestadas en promedio de los cinco últimos años. Las tipologías de bosque más deforestadas son: Bosque de Libre disponibilidad del Estado en 50%, Bosque de Protección Permanente – BPP 25.06%, predios rurales 14.60</w:t>
      </w:r>
      <w:proofErr w:type="gramStart"/>
      <w:r w:rsidRPr="00E03C4A">
        <w:rPr>
          <w:rFonts w:ascii="Arial" w:eastAsia="Arial" w:hAnsi="Arial" w:cs="Arial"/>
          <w:color w:val="002060"/>
          <w:sz w:val="20"/>
          <w:szCs w:val="20"/>
        </w:rPr>
        <w:t>%  y</w:t>
      </w:r>
      <w:proofErr w:type="gramEnd"/>
      <w:r w:rsidRPr="00E03C4A">
        <w:rPr>
          <w:rFonts w:ascii="Arial" w:eastAsia="Arial" w:hAnsi="Arial" w:cs="Arial"/>
          <w:color w:val="002060"/>
          <w:sz w:val="20"/>
          <w:szCs w:val="20"/>
        </w:rPr>
        <w:t xml:space="preserve"> comunidades nativas 6.6%</w:t>
      </w:r>
      <w:r>
        <w:rPr>
          <w:rFonts w:ascii="Calibri" w:eastAsia="Calibri" w:hAnsi="Calibri" w:cs="Calibri"/>
          <w:color w:val="002060"/>
          <w:sz w:val="18"/>
          <w:szCs w:val="18"/>
          <w:vertAlign w:val="superscript"/>
        </w:rPr>
        <w:footnoteReference w:id="4"/>
      </w:r>
      <w:r>
        <w:rPr>
          <w:rFonts w:ascii="Arial" w:eastAsia="Arial" w:hAnsi="Arial" w:cs="Arial"/>
          <w:color w:val="002060"/>
          <w:sz w:val="20"/>
          <w:szCs w:val="20"/>
        </w:rPr>
        <w:t xml:space="preserve"> </w:t>
      </w:r>
    </w:p>
    <w:p w14:paraId="3D6345F3" w14:textId="77777777" w:rsidR="00B50826" w:rsidRDefault="00B50826">
      <w:pPr>
        <w:shd w:val="clear" w:color="auto" w:fill="FFFFFF"/>
        <w:jc w:val="both"/>
        <w:rPr>
          <w:rFonts w:ascii="Arial" w:eastAsia="Arial" w:hAnsi="Arial" w:cs="Arial"/>
          <w:color w:val="002060"/>
          <w:sz w:val="20"/>
          <w:szCs w:val="20"/>
        </w:rPr>
      </w:pPr>
    </w:p>
    <w:p w14:paraId="247F4B74" w14:textId="77777777" w:rsidR="00B50826" w:rsidRDefault="00006AE2">
      <w:pPr>
        <w:shd w:val="clear" w:color="auto" w:fill="FFFFFF"/>
        <w:jc w:val="both"/>
        <w:rPr>
          <w:rFonts w:ascii="Arial" w:eastAsia="Arial" w:hAnsi="Arial" w:cs="Arial"/>
          <w:color w:val="002060"/>
          <w:sz w:val="20"/>
          <w:szCs w:val="20"/>
        </w:rPr>
      </w:pPr>
      <w:r>
        <w:rPr>
          <w:rFonts w:ascii="Arial" w:eastAsia="Arial" w:hAnsi="Arial" w:cs="Arial"/>
          <w:color w:val="002060"/>
          <w:sz w:val="20"/>
          <w:szCs w:val="20"/>
        </w:rPr>
        <w:t xml:space="preserve">El proceso de deforestación es explicado por una serie compleja de causas, las mismas que se interrelacionan, entre ellas tenemos: la expansión agrícola, migración de la población andina a la selva, </w:t>
      </w:r>
      <w:r>
        <w:rPr>
          <w:rFonts w:ascii="Arial" w:eastAsia="Arial" w:hAnsi="Arial" w:cs="Arial"/>
          <w:color w:val="002060"/>
          <w:sz w:val="20"/>
          <w:szCs w:val="20"/>
          <w:highlight w:val="white"/>
        </w:rPr>
        <w:t xml:space="preserve">crecimiento </w:t>
      </w:r>
      <w:r>
        <w:rPr>
          <w:rFonts w:ascii="Arial" w:eastAsia="Arial" w:hAnsi="Arial" w:cs="Arial"/>
          <w:color w:val="002060"/>
          <w:sz w:val="20"/>
          <w:szCs w:val="20"/>
        </w:rPr>
        <w:t xml:space="preserve">demográfico, demanda de productos amazónicos, precios de productos, cultivos ilegales, extracción de madera, tráfico de terrenos, minería ilegal, nuevas carreteras, corrupción, escasa presencia del estado, débil control y vigilancia, entre otras.  </w:t>
      </w:r>
    </w:p>
    <w:p w14:paraId="427E6241" w14:textId="77777777" w:rsidR="00B50826" w:rsidRDefault="00B50826">
      <w:pPr>
        <w:shd w:val="clear" w:color="auto" w:fill="FFFFFF"/>
        <w:jc w:val="both"/>
        <w:rPr>
          <w:rFonts w:ascii="Arial" w:eastAsia="Arial" w:hAnsi="Arial" w:cs="Arial"/>
          <w:color w:val="002060"/>
          <w:sz w:val="20"/>
          <w:szCs w:val="20"/>
        </w:rPr>
      </w:pPr>
    </w:p>
    <w:p w14:paraId="058C2B89" w14:textId="77777777" w:rsidR="00B50826" w:rsidRDefault="00006AE2">
      <w:pPr>
        <w:shd w:val="clear" w:color="auto" w:fill="FFFFFF"/>
        <w:jc w:val="both"/>
        <w:rPr>
          <w:rFonts w:ascii="Arial" w:eastAsia="Arial" w:hAnsi="Arial" w:cs="Arial"/>
          <w:color w:val="002060"/>
          <w:sz w:val="20"/>
          <w:szCs w:val="20"/>
        </w:rPr>
      </w:pPr>
      <w:r>
        <w:rPr>
          <w:rFonts w:ascii="Arial" w:eastAsia="Arial" w:hAnsi="Arial" w:cs="Arial"/>
          <w:color w:val="002060"/>
          <w:sz w:val="20"/>
          <w:szCs w:val="20"/>
        </w:rPr>
        <w:t>Esta estrategia tiene un enfoque holístico y plantea soluciones integrales para contrarrestar los mecanismos de deforestación, sobre todo los de mayor impacto, promoviendo el desarrollo rural sostenible y la conservación de los bosques; los mismos que regulan los efectos del cambio climático, contribuyendo a mejorar la calidad de vida de la población local, regional y, a nivel global regulando el clima.</w:t>
      </w:r>
    </w:p>
    <w:p w14:paraId="6D6EEB07" w14:textId="77777777" w:rsidR="003E6205" w:rsidRDefault="003E6205">
      <w:pPr>
        <w:shd w:val="clear" w:color="auto" w:fill="FFFFFF"/>
        <w:jc w:val="both"/>
        <w:rPr>
          <w:rFonts w:ascii="Arial" w:eastAsia="Arial" w:hAnsi="Arial" w:cs="Arial"/>
          <w:color w:val="002060"/>
          <w:sz w:val="20"/>
          <w:szCs w:val="20"/>
        </w:rPr>
      </w:pPr>
    </w:p>
    <w:p w14:paraId="533B5797" w14:textId="77777777" w:rsidR="00B50826" w:rsidRDefault="00CE6120">
      <w:pPr>
        <w:shd w:val="clear" w:color="auto" w:fill="FFFFFF"/>
        <w:jc w:val="both"/>
        <w:rPr>
          <w:rFonts w:ascii="Arial" w:eastAsia="Arial" w:hAnsi="Arial" w:cs="Arial"/>
          <w:color w:val="002060"/>
          <w:sz w:val="20"/>
          <w:szCs w:val="20"/>
        </w:rPr>
      </w:pPr>
      <w:r>
        <w:rPr>
          <w:rFonts w:ascii="Arial" w:eastAsia="Arial" w:hAnsi="Arial" w:cs="Arial"/>
          <w:color w:val="002060"/>
          <w:sz w:val="20"/>
          <w:szCs w:val="20"/>
        </w:rPr>
        <w:t>S</w:t>
      </w:r>
      <w:r w:rsidR="00006AE2">
        <w:rPr>
          <w:rFonts w:ascii="Arial" w:eastAsia="Arial" w:hAnsi="Arial" w:cs="Arial"/>
          <w:color w:val="002060"/>
          <w:sz w:val="20"/>
          <w:szCs w:val="20"/>
        </w:rPr>
        <w:t>u implementación dará cumplimiento a diversos compromisos asumidos por el Gobierno Regional, como el acuerdo de los Gobiernos Regionales peruanos miembros del GCF-TF;  la Declaración de San Francisco “Compromiso de los Gobernadores Amazónicos</w:t>
      </w:r>
      <w:r>
        <w:rPr>
          <w:rFonts w:ascii="Arial" w:eastAsia="Arial" w:hAnsi="Arial" w:cs="Arial"/>
          <w:color w:val="002060"/>
          <w:sz w:val="20"/>
          <w:szCs w:val="20"/>
        </w:rPr>
        <w:t>”</w:t>
      </w:r>
      <w:r w:rsidR="00006AE2">
        <w:rPr>
          <w:rFonts w:ascii="Arial" w:eastAsia="Arial" w:hAnsi="Arial" w:cs="Arial"/>
          <w:color w:val="002060"/>
          <w:sz w:val="20"/>
          <w:szCs w:val="20"/>
        </w:rPr>
        <w:t xml:space="preserve"> para  implementar Acciones Robustas contra el Cambio Climático y la deforestación en sus jurisdicciones, suscrito en 12 de setiembre 2018, donde se ratifica la Declaración  de  “Río  Branco”,  </w:t>
      </w:r>
      <w:r>
        <w:rPr>
          <w:rFonts w:ascii="Arial" w:eastAsia="Arial" w:hAnsi="Arial" w:cs="Arial"/>
          <w:color w:val="002060"/>
          <w:sz w:val="20"/>
          <w:szCs w:val="20"/>
        </w:rPr>
        <w:t xml:space="preserve">suscrita </w:t>
      </w:r>
      <w:r w:rsidR="00006AE2">
        <w:rPr>
          <w:rFonts w:ascii="Arial" w:eastAsia="Arial" w:hAnsi="Arial" w:cs="Arial"/>
          <w:color w:val="002060"/>
          <w:sz w:val="20"/>
          <w:szCs w:val="20"/>
        </w:rPr>
        <w:t xml:space="preserve">en  </w:t>
      </w:r>
      <w:r>
        <w:rPr>
          <w:rFonts w:ascii="Arial" w:eastAsia="Arial" w:hAnsi="Arial" w:cs="Arial"/>
          <w:color w:val="002060"/>
          <w:sz w:val="20"/>
          <w:szCs w:val="20"/>
        </w:rPr>
        <w:t xml:space="preserve">el </w:t>
      </w:r>
      <w:r w:rsidR="00006AE2">
        <w:rPr>
          <w:rFonts w:ascii="Arial" w:eastAsia="Arial" w:hAnsi="Arial" w:cs="Arial"/>
          <w:color w:val="002060"/>
          <w:sz w:val="20"/>
          <w:szCs w:val="20"/>
        </w:rPr>
        <w:t>2014,  que  tiene   como  objetivo reducir  la  deforestación  en  estados  y  provincias  en  un  80%  para  el  año  2020   y, que formaliza el compromiso del  GCF de  seguir reduciendo  la deforestación y fomentando el desarrollo de alianzas que contribuyan a la construcción  de  programas  jurisdiccionales robustos que permitan transiciones a gran  escala e integradas para el desarrollo sostenible.</w:t>
      </w:r>
    </w:p>
    <w:p w14:paraId="269C1300" w14:textId="77777777" w:rsidR="00B50826" w:rsidRDefault="00B50826">
      <w:pPr>
        <w:shd w:val="clear" w:color="auto" w:fill="FFFFFF"/>
        <w:jc w:val="both"/>
        <w:rPr>
          <w:rFonts w:ascii="Arial" w:eastAsia="Arial" w:hAnsi="Arial" w:cs="Arial"/>
          <w:color w:val="002060"/>
          <w:sz w:val="19"/>
          <w:szCs w:val="19"/>
        </w:rPr>
      </w:pPr>
    </w:p>
    <w:p w14:paraId="4C91A3FE" w14:textId="77777777" w:rsidR="00B50826" w:rsidRDefault="00006AE2">
      <w:pPr>
        <w:shd w:val="clear" w:color="auto" w:fill="FFFFFF"/>
        <w:jc w:val="both"/>
        <w:rPr>
          <w:rFonts w:ascii="Arial" w:eastAsia="Arial" w:hAnsi="Arial" w:cs="Arial"/>
          <w:color w:val="002060"/>
          <w:sz w:val="20"/>
          <w:szCs w:val="20"/>
        </w:rPr>
      </w:pPr>
      <w:r>
        <w:rPr>
          <w:rFonts w:ascii="Arial" w:eastAsia="Arial" w:hAnsi="Arial" w:cs="Arial"/>
          <w:color w:val="002060"/>
          <w:sz w:val="20"/>
          <w:szCs w:val="20"/>
        </w:rPr>
        <w:t xml:space="preserve">De igual manera contribuirá al cumplimiento de compromisos nacionales, como la “Iniciativa 20×20” que fue creada en la Conferencia de las Partes (COP20) de la Convención Marco de las Naciones Unidas sobre el Cambio Climático realizada en el 2014 en Lima. Esta iniciativa apoya las metas </w:t>
      </w:r>
      <w:r>
        <w:rPr>
          <w:rFonts w:ascii="Arial" w:eastAsia="Arial" w:hAnsi="Arial" w:cs="Arial"/>
          <w:color w:val="002060"/>
          <w:sz w:val="20"/>
          <w:szCs w:val="20"/>
        </w:rPr>
        <w:lastRenderedPageBreak/>
        <w:t>lanzadas bajo el Reto de Bonn y la Declaración de Nueva York sobre Bosques. Establece que los países miembros, prioricen la recuperación de tierras degradadas como estrategia para alcanzar un desarrollo sostenible en beneficio de las poblaciones rurales; en esta iniciativa el Perú se comprometió a restaurar 3.2 millones de hectáreas degradadas. Otro compromiso nacional es el “Acuerdo de París”, suscrito en el año 2015, el Perú asumió el compromiso de reducir en 30% las emisiones de gases de efecto invernadero hasta el año 2030; todos estos compromisos no se cumplirán sin la conservación de los bosques amazónicos.</w:t>
      </w:r>
    </w:p>
    <w:p w14:paraId="0A4D1B92" w14:textId="77777777" w:rsidR="00B50826" w:rsidRDefault="00B50826">
      <w:pPr>
        <w:shd w:val="clear" w:color="auto" w:fill="FFFFFF"/>
        <w:jc w:val="both"/>
        <w:rPr>
          <w:rFonts w:ascii="Arial" w:eastAsia="Arial" w:hAnsi="Arial" w:cs="Arial"/>
          <w:color w:val="002060"/>
          <w:sz w:val="20"/>
          <w:szCs w:val="20"/>
        </w:rPr>
      </w:pPr>
    </w:p>
    <w:p w14:paraId="4B2770C7" w14:textId="77777777" w:rsidR="00B50826" w:rsidRDefault="00006AE2">
      <w:pPr>
        <w:shd w:val="clear" w:color="auto" w:fill="FFFFFF"/>
        <w:jc w:val="both"/>
        <w:rPr>
          <w:rFonts w:ascii="Arial" w:eastAsia="Arial" w:hAnsi="Arial" w:cs="Arial"/>
          <w:color w:val="002060"/>
          <w:sz w:val="20"/>
          <w:szCs w:val="20"/>
        </w:rPr>
      </w:pPr>
      <w:r>
        <w:rPr>
          <w:rFonts w:ascii="Arial" w:eastAsia="Arial" w:hAnsi="Arial" w:cs="Arial"/>
          <w:color w:val="002060"/>
          <w:sz w:val="20"/>
          <w:szCs w:val="20"/>
        </w:rPr>
        <w:t xml:space="preserve">Por antes explicado, es urgente priorizar esfuerzos por la sostenibilidad de los bosques, </w:t>
      </w:r>
      <w:proofErr w:type="gramStart"/>
      <w:r>
        <w:rPr>
          <w:rFonts w:ascii="Arial" w:eastAsia="Arial" w:hAnsi="Arial" w:cs="Arial"/>
          <w:color w:val="002060"/>
          <w:sz w:val="20"/>
          <w:szCs w:val="20"/>
        </w:rPr>
        <w:t>en  beneficio</w:t>
      </w:r>
      <w:proofErr w:type="gramEnd"/>
      <w:r>
        <w:rPr>
          <w:rFonts w:ascii="Arial" w:eastAsia="Arial" w:hAnsi="Arial" w:cs="Arial"/>
          <w:color w:val="002060"/>
          <w:sz w:val="20"/>
          <w:szCs w:val="20"/>
        </w:rPr>
        <w:t xml:space="preserve"> de las futuras generaciones; apostando por el desarrollo rural sostenido, protegiendo los ecosistemas e incluyendo a la población vulnerable como son las comunidades nativas y las mujeres rurales. </w:t>
      </w:r>
    </w:p>
    <w:p w14:paraId="431E59BC" w14:textId="77777777" w:rsidR="003E6205" w:rsidRDefault="003E6205">
      <w:pPr>
        <w:shd w:val="clear" w:color="auto" w:fill="FFFFFF"/>
        <w:jc w:val="both"/>
        <w:rPr>
          <w:rFonts w:ascii="Arial" w:eastAsia="Arial" w:hAnsi="Arial" w:cs="Arial"/>
          <w:color w:val="002060"/>
          <w:sz w:val="20"/>
          <w:szCs w:val="20"/>
        </w:rPr>
      </w:pPr>
    </w:p>
    <w:p w14:paraId="7E655A29" w14:textId="77777777" w:rsidR="00120B58" w:rsidRDefault="00120B58">
      <w:pPr>
        <w:shd w:val="clear" w:color="auto" w:fill="FFFFFF"/>
        <w:jc w:val="both"/>
        <w:rPr>
          <w:rFonts w:ascii="Arial" w:eastAsia="Arial" w:hAnsi="Arial" w:cs="Arial"/>
          <w:color w:val="002060"/>
          <w:sz w:val="20"/>
          <w:szCs w:val="20"/>
        </w:rPr>
      </w:pPr>
    </w:p>
    <w:p w14:paraId="1140C112" w14:textId="77777777" w:rsidR="00B50826" w:rsidRPr="00120B58" w:rsidRDefault="00006AE2">
      <w:pPr>
        <w:numPr>
          <w:ilvl w:val="0"/>
          <w:numId w:val="16"/>
        </w:numPr>
        <w:pBdr>
          <w:top w:val="nil"/>
          <w:left w:val="nil"/>
          <w:bottom w:val="nil"/>
          <w:right w:val="nil"/>
          <w:between w:val="nil"/>
        </w:pBdr>
        <w:ind w:left="0" w:hanging="362"/>
        <w:rPr>
          <w:rFonts w:ascii="Arial" w:eastAsia="Arial" w:hAnsi="Arial" w:cs="Arial"/>
          <w:b/>
          <w:color w:val="002060"/>
        </w:rPr>
      </w:pPr>
      <w:r w:rsidRPr="00120B58">
        <w:rPr>
          <w:rFonts w:ascii="Arial" w:eastAsia="Arial" w:hAnsi="Arial" w:cs="Arial"/>
          <w:b/>
          <w:color w:val="002060"/>
        </w:rPr>
        <w:t xml:space="preserve">Agenda pública </w:t>
      </w:r>
    </w:p>
    <w:p w14:paraId="7C3B91D9" w14:textId="77777777" w:rsidR="00B50826" w:rsidRPr="00120B58" w:rsidRDefault="00B50826">
      <w:pPr>
        <w:pBdr>
          <w:top w:val="nil"/>
          <w:left w:val="nil"/>
          <w:bottom w:val="nil"/>
          <w:right w:val="nil"/>
          <w:between w:val="nil"/>
        </w:pBdr>
        <w:ind w:hanging="720"/>
        <w:jc w:val="both"/>
        <w:rPr>
          <w:rFonts w:ascii="Arial" w:eastAsia="Arial" w:hAnsi="Arial" w:cs="Arial"/>
          <w:color w:val="002060"/>
          <w:sz w:val="20"/>
          <w:szCs w:val="20"/>
        </w:rPr>
      </w:pPr>
    </w:p>
    <w:p w14:paraId="14572885"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sidRPr="00120B58">
        <w:rPr>
          <w:rFonts w:ascii="Arial" w:eastAsia="Arial" w:hAnsi="Arial" w:cs="Arial"/>
          <w:color w:val="002060"/>
          <w:sz w:val="20"/>
          <w:szCs w:val="20"/>
        </w:rPr>
        <w:t xml:space="preserve">El paisaje forestal es el principal activo </w:t>
      </w:r>
      <w:r w:rsidR="00A72820" w:rsidRPr="00120B58">
        <w:rPr>
          <w:rFonts w:ascii="Arial" w:eastAsia="Arial" w:hAnsi="Arial" w:cs="Arial"/>
          <w:color w:val="002060"/>
          <w:sz w:val="20"/>
          <w:szCs w:val="20"/>
        </w:rPr>
        <w:t xml:space="preserve">y patrimonio natural </w:t>
      </w:r>
      <w:r w:rsidRPr="00120B58">
        <w:rPr>
          <w:rFonts w:ascii="Arial" w:eastAsia="Arial" w:hAnsi="Arial" w:cs="Arial"/>
          <w:color w:val="002060"/>
          <w:sz w:val="20"/>
          <w:szCs w:val="20"/>
        </w:rPr>
        <w:t>para el desarrollo de la Amazonia Peruana, pero su</w:t>
      </w:r>
      <w:r>
        <w:rPr>
          <w:rFonts w:ascii="Arial" w:eastAsia="Arial" w:hAnsi="Arial" w:cs="Arial"/>
          <w:color w:val="002060"/>
          <w:sz w:val="20"/>
          <w:szCs w:val="20"/>
        </w:rPr>
        <w:t xml:space="preserve"> deforestación es también el principal problema, generados por la agricultura, ganadería y minería aluvial, actividades que dan sustento a las poblaciones y dinamizan la economía local y regional, pero al mismo tiempo son las principales causas de la deforestación, generando “reducción de la calidad de vida de la población, por la deforestación y degradación de los bosques amazónicos”, lo que conlleva a desafíos y propuestas priorizados en la agenda pública regional, los mismos que están orientados a la promoción del desarrollo rural sostenible,</w:t>
      </w:r>
      <w:r>
        <w:rPr>
          <w:rFonts w:ascii="Arial" w:eastAsia="Arial" w:hAnsi="Arial" w:cs="Arial"/>
          <w:color w:val="002060"/>
          <w:sz w:val="20"/>
          <w:szCs w:val="20"/>
          <w:highlight w:val="white"/>
        </w:rPr>
        <w:t xml:space="preserve"> la protección y conservación de los bosques.</w:t>
      </w:r>
    </w:p>
    <w:p w14:paraId="6EBA455D"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 </w:t>
      </w:r>
    </w:p>
    <w:p w14:paraId="7B03F2D3"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Dado el alarmante proceso deforestación que se genera en los bosques, generado por diversos actores, el Gobierno Regional Huánuco, mediante la Ordenanza Regional N° 080 - 2018 - GRHCO, aprueba la “Estrategia Regional de Cambio Climático de la Región Huánuco y su implementación 2017-2021, resuelve: "Encargar, a la Gerencia Regional de Recursos Naturales y Gestión Ambiental, Gerencia Regional de Planeamiento, Presupuesto y Acondicionamiento Territorial, Gerencia Regional de Desarrollo Social, Gerencia Regional de Desarrollo Económico, Gerencia Regional de Infraestructura, Direcciones Regionales y Gobiernos locales, la implementación de acciones estratégicas de adaptación, mitigación de Gases Efecto Invernadero (GEI) e institucionalidad, en los Planes Estratégicos Sectoriales, Planes Operativos Anuales, debiendo formalizar acciones técnico administrativas para su ejecución en el marco de sus competencias y funciones" estrategia orientada a implementar medidas para adaptarse y mitigar los efectos del cambio climático. </w:t>
      </w:r>
    </w:p>
    <w:p w14:paraId="6187742C" w14:textId="77777777" w:rsidR="00B50826" w:rsidRDefault="00B50826">
      <w:pPr>
        <w:pBdr>
          <w:top w:val="nil"/>
          <w:left w:val="nil"/>
          <w:bottom w:val="nil"/>
          <w:right w:val="nil"/>
          <w:between w:val="nil"/>
        </w:pBdr>
        <w:jc w:val="both"/>
        <w:rPr>
          <w:rFonts w:ascii="Arial" w:eastAsia="Arial" w:hAnsi="Arial" w:cs="Arial"/>
          <w:sz w:val="20"/>
          <w:szCs w:val="20"/>
        </w:rPr>
      </w:pPr>
    </w:p>
    <w:p w14:paraId="2480AF00" w14:textId="77777777" w:rsidR="00B50826" w:rsidRDefault="00006AE2">
      <w:pPr>
        <w:jc w:val="both"/>
        <w:rPr>
          <w:rFonts w:ascii="Arial" w:eastAsia="Arial" w:hAnsi="Arial" w:cs="Arial"/>
          <w:sz w:val="20"/>
          <w:szCs w:val="20"/>
        </w:rPr>
      </w:pPr>
      <w:r>
        <w:rPr>
          <w:rFonts w:ascii="Arial" w:eastAsia="Arial" w:hAnsi="Arial" w:cs="Arial"/>
          <w:color w:val="002060"/>
          <w:sz w:val="20"/>
          <w:szCs w:val="20"/>
        </w:rPr>
        <w:t xml:space="preserve">En el año 2018, la Mesa de Concertación para la Lucha Contra la Pobreza Huánuco, lidera y promueve el “Acuerdo de Gobernabilidad Regional Concertado para el Desarrollo Integral de Huánuco 2019 – 2022” Compromiso de candidatas y candidatos al Gobierno Regional de Huánuco, en la que se recoge las experiencias del Acuerdo de Gobernabilidad por el Desarrollo Humano Integral y Lucha Contra la Pobreza de Huánuco 2015 – 2018 que las actuales autoridades buscan implementarla y llevar a la práctica. Este acuerdo se basa en una revisión de la situación de la población y sus condiciones de vida, así como de las políticas públicas y su impacto en el bienestar de la ciudadanía, en la que se plantean metas e indicadores que deben contener el Acuerdo de Gobernabilidad de Huánuco 2019 – 2022. Plantea 18 políticas regionales, donde se prioriza el desarrollo sostenible, conservación y protección de los ecosistemas, empleo digno, entre otros.   </w:t>
      </w:r>
    </w:p>
    <w:p w14:paraId="77C665DE" w14:textId="77777777" w:rsidR="00B50826" w:rsidRDefault="00B50826">
      <w:pPr>
        <w:pBdr>
          <w:top w:val="nil"/>
          <w:left w:val="nil"/>
          <w:bottom w:val="nil"/>
          <w:right w:val="nil"/>
          <w:between w:val="nil"/>
        </w:pBdr>
        <w:jc w:val="both"/>
        <w:rPr>
          <w:rFonts w:ascii="Arial" w:eastAsia="Arial" w:hAnsi="Arial" w:cs="Arial"/>
          <w:sz w:val="20"/>
          <w:szCs w:val="20"/>
        </w:rPr>
      </w:pPr>
    </w:p>
    <w:p w14:paraId="113EF1C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Mediante la Resolución Ejecutiva Regional N° 216 -2019-GRH/GR, emitida el 4 de marzo del 2019, declara prioritaria la elaboración, en forma participativa, de una estrategia regional para promover el desarrollo rural bajo en emisiones en la Región Huánuco bajo el enfoque de producción, protección e inclusión, y su plan de inversión y conforma el Grupo de Trabajo Regional para coordinar el proceso de elaboración de esta estrategia regional.</w:t>
      </w:r>
    </w:p>
    <w:p w14:paraId="36CF44ED" w14:textId="77777777" w:rsidR="00B50826" w:rsidRDefault="00B50826">
      <w:pPr>
        <w:jc w:val="both"/>
        <w:rPr>
          <w:rFonts w:ascii="Arial" w:eastAsia="Arial" w:hAnsi="Arial" w:cs="Arial"/>
          <w:color w:val="002060"/>
          <w:sz w:val="20"/>
          <w:szCs w:val="20"/>
        </w:rPr>
      </w:pPr>
    </w:p>
    <w:p w14:paraId="489410D0" w14:textId="77777777" w:rsidR="00B50826" w:rsidRDefault="00006AE2">
      <w:pPr>
        <w:jc w:val="both"/>
        <w:rPr>
          <w:rFonts w:ascii="Arial" w:eastAsia="Arial" w:hAnsi="Arial" w:cs="Arial"/>
          <w:sz w:val="20"/>
          <w:szCs w:val="20"/>
        </w:rPr>
      </w:pPr>
      <w:r>
        <w:rPr>
          <w:rFonts w:ascii="Arial" w:eastAsia="Arial" w:hAnsi="Arial" w:cs="Arial"/>
          <w:color w:val="002060"/>
          <w:sz w:val="20"/>
          <w:szCs w:val="20"/>
        </w:rPr>
        <w:t>En esta resolución se plantea la identificación de las políticas, medidas y acciones necesarias de adoptar y aplicar para alcanzar las metas propuestas, en colaboración con los productores agrarios, ganaderos, acuícolas y forestales de la Región, organizaciones de los pueblos indígenas, sociedad civil, empresas, gobiernos locales, el gobierno nacional y otros actores relevantes, con el fin que las estrategias de intervención contrarresten las  causas de la deforestación, y respondan a las necesidades e intereses de la población rural, enfatizando a los grupos vulnerables</w:t>
      </w:r>
      <w:r>
        <w:rPr>
          <w:rFonts w:ascii="Arial" w:eastAsia="Arial" w:hAnsi="Arial" w:cs="Arial"/>
          <w:sz w:val="20"/>
          <w:szCs w:val="20"/>
        </w:rPr>
        <w:t xml:space="preserve">. </w:t>
      </w:r>
    </w:p>
    <w:p w14:paraId="7355D7CC" w14:textId="77777777" w:rsidR="00B50826" w:rsidRDefault="00B50826">
      <w:pPr>
        <w:jc w:val="both"/>
        <w:rPr>
          <w:rFonts w:ascii="Arial" w:eastAsia="Arial" w:hAnsi="Arial" w:cs="Arial"/>
          <w:sz w:val="20"/>
          <w:szCs w:val="20"/>
        </w:rPr>
      </w:pPr>
    </w:p>
    <w:p w14:paraId="3F449DF4" w14:textId="77777777" w:rsidR="00B50826" w:rsidRDefault="00006AE2">
      <w:pPr>
        <w:jc w:val="both"/>
        <w:rPr>
          <w:rFonts w:ascii="Arial" w:eastAsia="Arial" w:hAnsi="Arial" w:cs="Arial"/>
          <w:color w:val="002060"/>
          <w:sz w:val="20"/>
          <w:szCs w:val="20"/>
        </w:rPr>
      </w:pPr>
      <w:r w:rsidRPr="00120B58">
        <w:rPr>
          <w:rFonts w:ascii="Arial" w:eastAsia="Arial" w:hAnsi="Arial" w:cs="Arial"/>
          <w:color w:val="002060"/>
          <w:sz w:val="20"/>
          <w:szCs w:val="20"/>
        </w:rPr>
        <w:t xml:space="preserve">La ERDRBE, al constituirse </w:t>
      </w:r>
      <w:proofErr w:type="gramStart"/>
      <w:r w:rsidRPr="00120B58">
        <w:rPr>
          <w:rFonts w:ascii="Arial" w:eastAsia="Arial" w:hAnsi="Arial" w:cs="Arial"/>
          <w:color w:val="002060"/>
          <w:sz w:val="20"/>
          <w:szCs w:val="20"/>
        </w:rPr>
        <w:t>en  insumo</w:t>
      </w:r>
      <w:proofErr w:type="gramEnd"/>
      <w:r w:rsidRPr="00120B58">
        <w:rPr>
          <w:rFonts w:ascii="Arial" w:eastAsia="Arial" w:hAnsi="Arial" w:cs="Arial"/>
          <w:color w:val="002060"/>
          <w:sz w:val="20"/>
          <w:szCs w:val="20"/>
        </w:rPr>
        <w:t xml:space="preserve"> de planificación,  se articula con el Plan de Desarrollo Regional Concertado - PDRC, convergiendo en sus objetivos y metas para la reducción de las emisiones de gases de efecto invernadero.</w:t>
      </w:r>
      <w:r>
        <w:rPr>
          <w:rFonts w:ascii="Arial" w:eastAsia="Arial" w:hAnsi="Arial" w:cs="Arial"/>
          <w:color w:val="002060"/>
          <w:sz w:val="20"/>
          <w:szCs w:val="20"/>
        </w:rPr>
        <w:t xml:space="preserve"> </w:t>
      </w:r>
    </w:p>
    <w:p w14:paraId="466C6265" w14:textId="77777777" w:rsidR="00B50826" w:rsidRDefault="00B50826">
      <w:pPr>
        <w:pBdr>
          <w:top w:val="nil"/>
          <w:left w:val="nil"/>
          <w:bottom w:val="nil"/>
          <w:right w:val="nil"/>
          <w:between w:val="nil"/>
        </w:pBdr>
        <w:ind w:hanging="720"/>
        <w:jc w:val="both"/>
        <w:rPr>
          <w:rFonts w:ascii="Arial" w:eastAsia="Arial" w:hAnsi="Arial" w:cs="Arial"/>
          <w:b/>
          <w:color w:val="002060"/>
        </w:rPr>
      </w:pPr>
    </w:p>
    <w:p w14:paraId="4707A4D7" w14:textId="77777777" w:rsidR="00120B58" w:rsidRDefault="00120B58">
      <w:pPr>
        <w:pBdr>
          <w:top w:val="nil"/>
          <w:left w:val="nil"/>
          <w:bottom w:val="nil"/>
          <w:right w:val="nil"/>
          <w:between w:val="nil"/>
        </w:pBdr>
        <w:ind w:hanging="720"/>
        <w:jc w:val="both"/>
        <w:rPr>
          <w:rFonts w:ascii="Arial" w:eastAsia="Arial" w:hAnsi="Arial" w:cs="Arial"/>
          <w:b/>
          <w:color w:val="002060"/>
        </w:rPr>
      </w:pPr>
    </w:p>
    <w:p w14:paraId="0B4BB861" w14:textId="77777777" w:rsidR="00B50826" w:rsidRDefault="00006AE2">
      <w:pPr>
        <w:numPr>
          <w:ilvl w:val="0"/>
          <w:numId w:val="16"/>
        </w:numPr>
        <w:pBdr>
          <w:top w:val="nil"/>
          <w:left w:val="nil"/>
          <w:bottom w:val="nil"/>
          <w:right w:val="nil"/>
          <w:between w:val="nil"/>
        </w:pBdr>
        <w:ind w:left="0" w:hanging="362"/>
        <w:jc w:val="both"/>
        <w:rPr>
          <w:rFonts w:ascii="Arial" w:eastAsia="Arial" w:hAnsi="Arial" w:cs="Arial"/>
          <w:b/>
          <w:color w:val="002060"/>
        </w:rPr>
      </w:pPr>
      <w:r>
        <w:rPr>
          <w:rFonts w:ascii="Arial" w:eastAsia="Arial" w:hAnsi="Arial" w:cs="Arial"/>
          <w:b/>
          <w:color w:val="002060"/>
        </w:rPr>
        <w:t>Relevancia del problema, considerando el contexto regional, nacional e internacional</w:t>
      </w:r>
    </w:p>
    <w:p w14:paraId="72ED26C5" w14:textId="77777777" w:rsidR="00B50826" w:rsidRDefault="00B50826" w:rsidP="005525DE">
      <w:pPr>
        <w:pBdr>
          <w:top w:val="nil"/>
          <w:left w:val="nil"/>
          <w:bottom w:val="nil"/>
          <w:right w:val="nil"/>
          <w:between w:val="nil"/>
        </w:pBdr>
        <w:ind w:hanging="720"/>
        <w:jc w:val="both"/>
        <w:rPr>
          <w:rFonts w:ascii="Arial" w:eastAsia="Arial" w:hAnsi="Arial" w:cs="Arial"/>
          <w:b/>
          <w:color w:val="002060"/>
          <w:sz w:val="20"/>
          <w:szCs w:val="20"/>
        </w:rPr>
      </w:pPr>
    </w:p>
    <w:p w14:paraId="0EF542F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Los bosques son amenazados por la acción del hombre, en la región este proceso de deforestación se viene incrementando año a año, las causas son diversas, las mismas que se interrelacionan, generando mecanismos causales complejos. La deforestación es responsable de las emisiones globales de gases de efecto invernadero (GEI) y representan alrededor de un tercio de los esfuerzos de mitigación necesarios para evitar el incremento de la temperatura en 2 grados Celsius</w:t>
      </w:r>
      <w:r w:rsidR="005525DE">
        <w:rPr>
          <w:rStyle w:val="Refdenotaalpie"/>
          <w:rFonts w:eastAsia="Arial" w:cs="Arial"/>
          <w:color w:val="002060"/>
          <w:szCs w:val="20"/>
        </w:rPr>
        <w:footnoteReference w:id="5"/>
      </w:r>
      <w:r>
        <w:rPr>
          <w:rFonts w:ascii="Arial" w:eastAsia="Arial" w:hAnsi="Arial" w:cs="Arial"/>
          <w:color w:val="002060"/>
          <w:sz w:val="20"/>
          <w:szCs w:val="20"/>
        </w:rPr>
        <w:t xml:space="preserve">. </w:t>
      </w:r>
    </w:p>
    <w:p w14:paraId="72179B48"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0EACFBEA"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El 80% de la deforestación o el cambio del uso del suelo, está vinculada a la agricultura que es base de importantes cadenas de suministro globales. El 71% de la deforestación en los países de América del Sur en el período 1990 - 2005 se debió al aumento de la demanda de pastos, generando la pérdida de un tercio de los bosques</w:t>
      </w:r>
      <w:r w:rsidR="005525DE">
        <w:rPr>
          <w:rFonts w:ascii="Arial" w:eastAsia="Arial" w:hAnsi="Arial" w:cs="Arial"/>
          <w:color w:val="002060"/>
          <w:sz w:val="20"/>
          <w:szCs w:val="20"/>
        </w:rPr>
        <w:t xml:space="preserve">. </w:t>
      </w:r>
      <w:r>
        <w:rPr>
          <w:rFonts w:ascii="Arial" w:eastAsia="Arial" w:hAnsi="Arial" w:cs="Arial"/>
          <w:color w:val="002060"/>
          <w:sz w:val="20"/>
          <w:szCs w:val="20"/>
        </w:rPr>
        <w:t>En el caso de Perú, la expansión de las tierras de cultivo en pequeña escala constituyó el factor más dominante, con un 41%</w:t>
      </w:r>
      <w:r w:rsidR="005525DE">
        <w:rPr>
          <w:rFonts w:ascii="Calibri" w:eastAsia="Calibri" w:hAnsi="Calibri" w:cs="Calibri"/>
          <w:color w:val="002060"/>
          <w:sz w:val="18"/>
          <w:szCs w:val="18"/>
          <w:vertAlign w:val="superscript"/>
        </w:rPr>
        <w:footnoteReference w:id="6"/>
      </w:r>
      <w:r>
        <w:rPr>
          <w:rFonts w:ascii="Arial" w:eastAsia="Arial" w:hAnsi="Arial" w:cs="Arial"/>
          <w:color w:val="002060"/>
          <w:sz w:val="20"/>
          <w:szCs w:val="20"/>
        </w:rPr>
        <w:t>.</w:t>
      </w:r>
    </w:p>
    <w:p w14:paraId="1D490312"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150792D2"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A nivel regional y nacional el comportamiento en el proceso de deforestación ha sido similar, en el periodo 2001 al 2018 prácticamente las áreas deforestadas anualmente se han duplicado en ambos casos, como se puede observar en el siguiente cuadro:</w:t>
      </w:r>
    </w:p>
    <w:p w14:paraId="5E984E7D"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14080733"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1308F7B0" w14:textId="77777777" w:rsidR="00B50826" w:rsidRDefault="00006AE2">
      <w:pPr>
        <w:pBdr>
          <w:top w:val="nil"/>
          <w:left w:val="nil"/>
          <w:bottom w:val="nil"/>
          <w:right w:val="nil"/>
          <w:between w:val="nil"/>
        </w:pBdr>
        <w:shd w:val="clear" w:color="auto" w:fill="FFFFFF"/>
        <w:ind w:left="708" w:firstLine="708"/>
        <w:jc w:val="both"/>
        <w:rPr>
          <w:rFonts w:ascii="Arial" w:eastAsia="Arial" w:hAnsi="Arial" w:cs="Arial"/>
          <w:b/>
          <w:i/>
          <w:color w:val="002060"/>
          <w:sz w:val="20"/>
          <w:szCs w:val="20"/>
        </w:rPr>
      </w:pPr>
      <w:r>
        <w:rPr>
          <w:rFonts w:ascii="Arial" w:eastAsia="Arial" w:hAnsi="Arial" w:cs="Arial"/>
          <w:b/>
          <w:color w:val="002060"/>
          <w:sz w:val="20"/>
          <w:szCs w:val="20"/>
        </w:rPr>
        <w:t>Cuadro No 01</w:t>
      </w:r>
      <w:r>
        <w:rPr>
          <w:rFonts w:ascii="Arial" w:eastAsia="Arial" w:hAnsi="Arial" w:cs="Arial"/>
          <w:color w:val="002060"/>
          <w:sz w:val="20"/>
          <w:szCs w:val="20"/>
        </w:rPr>
        <w:t xml:space="preserve">: </w:t>
      </w:r>
      <w:r>
        <w:rPr>
          <w:rFonts w:ascii="Arial" w:eastAsia="Arial" w:hAnsi="Arial" w:cs="Arial"/>
          <w:b/>
          <w:i/>
          <w:color w:val="002060"/>
          <w:sz w:val="20"/>
          <w:szCs w:val="20"/>
        </w:rPr>
        <w:t>Proceso de deforestación regional y nacional.</w:t>
      </w:r>
    </w:p>
    <w:p w14:paraId="5A12CB57" w14:textId="77777777" w:rsidR="00B50826" w:rsidRDefault="00B50826">
      <w:pPr>
        <w:pBdr>
          <w:top w:val="nil"/>
          <w:left w:val="nil"/>
          <w:bottom w:val="nil"/>
          <w:right w:val="nil"/>
          <w:between w:val="nil"/>
        </w:pBdr>
        <w:shd w:val="clear" w:color="auto" w:fill="FFFFFF"/>
        <w:ind w:left="708" w:firstLine="708"/>
        <w:jc w:val="both"/>
        <w:rPr>
          <w:rFonts w:ascii="Arial" w:eastAsia="Arial" w:hAnsi="Arial" w:cs="Arial"/>
          <w:b/>
          <w:i/>
          <w:color w:val="002060"/>
          <w:sz w:val="20"/>
          <w:szCs w:val="20"/>
        </w:rPr>
      </w:pPr>
    </w:p>
    <w:tbl>
      <w:tblPr>
        <w:tblStyle w:val="af3"/>
        <w:tblW w:w="0" w:type="auto"/>
        <w:tblInd w:w="1327" w:type="dxa"/>
        <w:tblLook w:val="0400" w:firstRow="0" w:lastRow="0" w:firstColumn="0" w:lastColumn="0" w:noHBand="0" w:noVBand="1"/>
      </w:tblPr>
      <w:tblGrid>
        <w:gridCol w:w="1547"/>
        <w:gridCol w:w="1799"/>
        <w:gridCol w:w="1418"/>
      </w:tblGrid>
      <w:tr w:rsidR="00B50826" w14:paraId="1D38FB1C" w14:textId="77777777" w:rsidTr="005525D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9D08E"/>
            <w:vAlign w:val="bottom"/>
          </w:tcPr>
          <w:p w14:paraId="1E0FAF7C" w14:textId="77777777" w:rsidR="00B50826" w:rsidRDefault="00006AE2">
            <w:pPr>
              <w:jc w:val="center"/>
              <w:rPr>
                <w:rFonts w:ascii="Calibri" w:eastAsia="Calibri" w:hAnsi="Calibri" w:cs="Calibri"/>
                <w:b/>
                <w:color w:val="002060"/>
                <w:sz w:val="22"/>
                <w:szCs w:val="22"/>
              </w:rPr>
            </w:pPr>
            <w:r>
              <w:rPr>
                <w:rFonts w:ascii="Calibri" w:eastAsia="Calibri" w:hAnsi="Calibri" w:cs="Calibri"/>
                <w:b/>
                <w:color w:val="002060"/>
                <w:sz w:val="22"/>
                <w:szCs w:val="22"/>
              </w:rPr>
              <w:t>Periodos</w:t>
            </w:r>
          </w:p>
        </w:tc>
        <w:tc>
          <w:tcPr>
            <w:tcW w:w="1799" w:type="dxa"/>
            <w:tcBorders>
              <w:top w:val="single" w:sz="4" w:space="0" w:color="000000"/>
              <w:left w:val="nil"/>
              <w:bottom w:val="single" w:sz="4" w:space="0" w:color="000000"/>
              <w:right w:val="single" w:sz="4" w:space="0" w:color="000000"/>
            </w:tcBorders>
            <w:shd w:val="clear" w:color="auto" w:fill="A9D08E"/>
            <w:vAlign w:val="bottom"/>
          </w:tcPr>
          <w:p w14:paraId="5ACBEA95" w14:textId="77777777" w:rsidR="00B50826" w:rsidRDefault="00006AE2">
            <w:pPr>
              <w:jc w:val="center"/>
              <w:rPr>
                <w:rFonts w:ascii="Calibri" w:eastAsia="Calibri" w:hAnsi="Calibri" w:cs="Calibri"/>
                <w:b/>
                <w:color w:val="002060"/>
                <w:sz w:val="22"/>
                <w:szCs w:val="22"/>
              </w:rPr>
            </w:pPr>
            <w:r>
              <w:rPr>
                <w:rFonts w:ascii="Calibri" w:eastAsia="Calibri" w:hAnsi="Calibri" w:cs="Calibri"/>
                <w:b/>
                <w:color w:val="002060"/>
                <w:sz w:val="22"/>
                <w:szCs w:val="22"/>
              </w:rPr>
              <w:t>Región Huánuco</w:t>
            </w:r>
          </w:p>
        </w:tc>
        <w:tc>
          <w:tcPr>
            <w:tcW w:w="1418" w:type="dxa"/>
            <w:tcBorders>
              <w:top w:val="single" w:sz="4" w:space="0" w:color="000000"/>
              <w:left w:val="nil"/>
              <w:bottom w:val="single" w:sz="4" w:space="0" w:color="000000"/>
              <w:right w:val="single" w:sz="4" w:space="0" w:color="000000"/>
            </w:tcBorders>
            <w:shd w:val="clear" w:color="auto" w:fill="A9D08E"/>
            <w:vAlign w:val="bottom"/>
          </w:tcPr>
          <w:p w14:paraId="5BF33B5B" w14:textId="77777777" w:rsidR="00B50826" w:rsidRDefault="00006AE2">
            <w:pPr>
              <w:jc w:val="center"/>
              <w:rPr>
                <w:rFonts w:ascii="Calibri" w:eastAsia="Calibri" w:hAnsi="Calibri" w:cs="Calibri"/>
                <w:b/>
                <w:color w:val="002060"/>
                <w:sz w:val="22"/>
                <w:szCs w:val="22"/>
              </w:rPr>
            </w:pPr>
            <w:r>
              <w:rPr>
                <w:rFonts w:ascii="Calibri" w:eastAsia="Calibri" w:hAnsi="Calibri" w:cs="Calibri"/>
                <w:b/>
                <w:color w:val="002060"/>
                <w:sz w:val="22"/>
                <w:szCs w:val="22"/>
              </w:rPr>
              <w:t>Nacional</w:t>
            </w:r>
          </w:p>
        </w:tc>
      </w:tr>
      <w:tr w:rsidR="00B50826" w14:paraId="24013761" w14:textId="77777777" w:rsidTr="005525D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E062DFA"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2001 - 2004</w:t>
            </w:r>
          </w:p>
        </w:tc>
        <w:tc>
          <w:tcPr>
            <w:tcW w:w="1799" w:type="dxa"/>
            <w:tcBorders>
              <w:top w:val="nil"/>
              <w:left w:val="nil"/>
              <w:bottom w:val="single" w:sz="4" w:space="0" w:color="000000"/>
              <w:right w:val="single" w:sz="4" w:space="0" w:color="000000"/>
            </w:tcBorders>
            <w:shd w:val="clear" w:color="auto" w:fill="auto"/>
            <w:vAlign w:val="bottom"/>
          </w:tcPr>
          <w:p w14:paraId="3E1E8A44" w14:textId="77777777" w:rsidR="00B50826" w:rsidRDefault="00006AE2">
            <w:pPr>
              <w:jc w:val="right"/>
              <w:rPr>
                <w:rFonts w:ascii="Calibri" w:eastAsia="Calibri" w:hAnsi="Calibri" w:cs="Calibri"/>
                <w:color w:val="002060"/>
                <w:sz w:val="22"/>
                <w:szCs w:val="22"/>
              </w:rPr>
            </w:pPr>
            <w:r>
              <w:rPr>
                <w:rFonts w:ascii="Calibri" w:eastAsia="Calibri" w:hAnsi="Calibri" w:cs="Calibri"/>
                <w:color w:val="002060"/>
                <w:sz w:val="22"/>
                <w:szCs w:val="22"/>
              </w:rPr>
              <w:t>43,848</w:t>
            </w:r>
          </w:p>
        </w:tc>
        <w:tc>
          <w:tcPr>
            <w:tcW w:w="1418" w:type="dxa"/>
            <w:tcBorders>
              <w:top w:val="nil"/>
              <w:left w:val="nil"/>
              <w:bottom w:val="single" w:sz="4" w:space="0" w:color="000000"/>
              <w:right w:val="single" w:sz="4" w:space="0" w:color="000000"/>
            </w:tcBorders>
            <w:shd w:val="clear" w:color="auto" w:fill="auto"/>
            <w:vAlign w:val="bottom"/>
          </w:tcPr>
          <w:p w14:paraId="34AB2041"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329,841</w:t>
            </w:r>
          </w:p>
        </w:tc>
      </w:tr>
      <w:tr w:rsidR="00B50826" w14:paraId="04816909" w14:textId="77777777" w:rsidTr="005525D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DB64EF1"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2005 - 2008</w:t>
            </w:r>
          </w:p>
        </w:tc>
        <w:tc>
          <w:tcPr>
            <w:tcW w:w="1799" w:type="dxa"/>
            <w:tcBorders>
              <w:top w:val="nil"/>
              <w:left w:val="nil"/>
              <w:bottom w:val="single" w:sz="4" w:space="0" w:color="000000"/>
              <w:right w:val="single" w:sz="4" w:space="0" w:color="000000"/>
            </w:tcBorders>
            <w:shd w:val="clear" w:color="auto" w:fill="auto"/>
            <w:vAlign w:val="bottom"/>
          </w:tcPr>
          <w:p w14:paraId="35FF5110" w14:textId="77777777" w:rsidR="00B50826" w:rsidRDefault="00006AE2">
            <w:pPr>
              <w:jc w:val="right"/>
              <w:rPr>
                <w:rFonts w:ascii="Calibri" w:eastAsia="Calibri" w:hAnsi="Calibri" w:cs="Calibri"/>
                <w:color w:val="002060"/>
                <w:sz w:val="22"/>
                <w:szCs w:val="22"/>
              </w:rPr>
            </w:pPr>
            <w:r>
              <w:rPr>
                <w:rFonts w:ascii="Calibri" w:eastAsia="Calibri" w:hAnsi="Calibri" w:cs="Calibri"/>
                <w:color w:val="002060"/>
                <w:sz w:val="22"/>
                <w:szCs w:val="22"/>
              </w:rPr>
              <w:t>63,764</w:t>
            </w:r>
          </w:p>
        </w:tc>
        <w:tc>
          <w:tcPr>
            <w:tcW w:w="1418" w:type="dxa"/>
            <w:tcBorders>
              <w:top w:val="nil"/>
              <w:left w:val="nil"/>
              <w:bottom w:val="single" w:sz="4" w:space="0" w:color="000000"/>
              <w:right w:val="single" w:sz="4" w:space="0" w:color="000000"/>
            </w:tcBorders>
            <w:shd w:val="clear" w:color="auto" w:fill="auto"/>
            <w:vAlign w:val="bottom"/>
          </w:tcPr>
          <w:p w14:paraId="1ED5A0AA"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434007</w:t>
            </w:r>
          </w:p>
        </w:tc>
      </w:tr>
      <w:tr w:rsidR="00B50826" w14:paraId="548F9EA7" w14:textId="77777777" w:rsidTr="005525D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3A7387C"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2009 - 2012</w:t>
            </w:r>
          </w:p>
        </w:tc>
        <w:tc>
          <w:tcPr>
            <w:tcW w:w="1799" w:type="dxa"/>
            <w:tcBorders>
              <w:top w:val="nil"/>
              <w:left w:val="nil"/>
              <w:bottom w:val="single" w:sz="4" w:space="0" w:color="000000"/>
              <w:right w:val="single" w:sz="4" w:space="0" w:color="000000"/>
            </w:tcBorders>
            <w:shd w:val="clear" w:color="auto" w:fill="auto"/>
            <w:vAlign w:val="bottom"/>
          </w:tcPr>
          <w:p w14:paraId="712EF26B" w14:textId="77777777" w:rsidR="00B50826" w:rsidRDefault="00006AE2">
            <w:pPr>
              <w:jc w:val="right"/>
              <w:rPr>
                <w:rFonts w:ascii="Calibri" w:eastAsia="Calibri" w:hAnsi="Calibri" w:cs="Calibri"/>
                <w:color w:val="002060"/>
                <w:sz w:val="22"/>
                <w:szCs w:val="22"/>
              </w:rPr>
            </w:pPr>
            <w:r>
              <w:rPr>
                <w:rFonts w:ascii="Calibri" w:eastAsia="Calibri" w:hAnsi="Calibri" w:cs="Calibri"/>
                <w:color w:val="002060"/>
                <w:sz w:val="22"/>
                <w:szCs w:val="22"/>
              </w:rPr>
              <w:t>85,511</w:t>
            </w:r>
          </w:p>
        </w:tc>
        <w:tc>
          <w:tcPr>
            <w:tcW w:w="1418" w:type="dxa"/>
            <w:tcBorders>
              <w:top w:val="nil"/>
              <w:left w:val="nil"/>
              <w:bottom w:val="single" w:sz="4" w:space="0" w:color="000000"/>
              <w:right w:val="single" w:sz="4" w:space="0" w:color="000000"/>
            </w:tcBorders>
            <w:shd w:val="clear" w:color="auto" w:fill="auto"/>
            <w:vAlign w:val="bottom"/>
          </w:tcPr>
          <w:p w14:paraId="3116D900"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561,391</w:t>
            </w:r>
          </w:p>
        </w:tc>
      </w:tr>
      <w:tr w:rsidR="00B50826" w14:paraId="4FA4D585" w14:textId="77777777" w:rsidTr="005525D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4C65BB7"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2013 - 2018</w:t>
            </w:r>
          </w:p>
        </w:tc>
        <w:tc>
          <w:tcPr>
            <w:tcW w:w="1799" w:type="dxa"/>
            <w:tcBorders>
              <w:top w:val="nil"/>
              <w:left w:val="nil"/>
              <w:bottom w:val="single" w:sz="4" w:space="0" w:color="000000"/>
              <w:right w:val="single" w:sz="4" w:space="0" w:color="000000"/>
            </w:tcBorders>
            <w:shd w:val="clear" w:color="auto" w:fill="auto"/>
            <w:vAlign w:val="bottom"/>
          </w:tcPr>
          <w:p w14:paraId="68B9364C" w14:textId="77777777" w:rsidR="00B50826" w:rsidRDefault="00006AE2">
            <w:pPr>
              <w:jc w:val="right"/>
              <w:rPr>
                <w:rFonts w:ascii="Calibri" w:eastAsia="Calibri" w:hAnsi="Calibri" w:cs="Calibri"/>
                <w:color w:val="002060"/>
                <w:sz w:val="22"/>
                <w:szCs w:val="22"/>
              </w:rPr>
            </w:pPr>
            <w:r>
              <w:rPr>
                <w:rFonts w:ascii="Calibri" w:eastAsia="Calibri" w:hAnsi="Calibri" w:cs="Calibri"/>
                <w:color w:val="002060"/>
                <w:sz w:val="22"/>
                <w:szCs w:val="22"/>
              </w:rPr>
              <w:t>125,999</w:t>
            </w:r>
          </w:p>
        </w:tc>
        <w:tc>
          <w:tcPr>
            <w:tcW w:w="1418" w:type="dxa"/>
            <w:tcBorders>
              <w:top w:val="nil"/>
              <w:left w:val="nil"/>
              <w:bottom w:val="single" w:sz="4" w:space="0" w:color="000000"/>
              <w:right w:val="single" w:sz="4" w:space="0" w:color="000000"/>
            </w:tcBorders>
            <w:shd w:val="clear" w:color="auto" w:fill="auto"/>
            <w:vAlign w:val="bottom"/>
          </w:tcPr>
          <w:p w14:paraId="2464F201"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959,649</w:t>
            </w:r>
          </w:p>
        </w:tc>
      </w:tr>
      <w:tr w:rsidR="00B50826" w14:paraId="1B4A48DA" w14:textId="77777777" w:rsidTr="005525D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1A04243" w14:textId="77777777" w:rsidR="00B50826" w:rsidRDefault="00006AE2">
            <w:pPr>
              <w:jc w:val="center"/>
              <w:rPr>
                <w:rFonts w:ascii="Calibri" w:eastAsia="Calibri" w:hAnsi="Calibri" w:cs="Calibri"/>
                <w:color w:val="002060"/>
                <w:sz w:val="16"/>
                <w:szCs w:val="16"/>
              </w:rPr>
            </w:pPr>
            <w:r>
              <w:rPr>
                <w:rFonts w:ascii="Calibri" w:eastAsia="Calibri" w:hAnsi="Calibri" w:cs="Calibri"/>
                <w:color w:val="002060"/>
                <w:sz w:val="16"/>
                <w:szCs w:val="16"/>
              </w:rPr>
              <w:t>Proyectado al 2030*</w:t>
            </w:r>
          </w:p>
        </w:tc>
        <w:tc>
          <w:tcPr>
            <w:tcW w:w="1799" w:type="dxa"/>
            <w:tcBorders>
              <w:top w:val="nil"/>
              <w:left w:val="nil"/>
              <w:bottom w:val="single" w:sz="4" w:space="0" w:color="000000"/>
              <w:right w:val="single" w:sz="4" w:space="0" w:color="000000"/>
            </w:tcBorders>
            <w:shd w:val="clear" w:color="auto" w:fill="auto"/>
            <w:vAlign w:val="bottom"/>
          </w:tcPr>
          <w:p w14:paraId="7C1AA9E0" w14:textId="77777777" w:rsidR="00B50826" w:rsidRDefault="00006AE2">
            <w:pPr>
              <w:jc w:val="right"/>
              <w:rPr>
                <w:rFonts w:ascii="Calibri" w:eastAsia="Calibri" w:hAnsi="Calibri" w:cs="Calibri"/>
                <w:color w:val="002060"/>
                <w:sz w:val="22"/>
                <w:szCs w:val="22"/>
              </w:rPr>
            </w:pPr>
            <w:r>
              <w:rPr>
                <w:rFonts w:ascii="Calibri" w:eastAsia="Calibri" w:hAnsi="Calibri" w:cs="Calibri"/>
                <w:color w:val="002060"/>
                <w:sz w:val="22"/>
                <w:szCs w:val="22"/>
              </w:rPr>
              <w:t>31,959</w:t>
            </w:r>
          </w:p>
        </w:tc>
        <w:tc>
          <w:tcPr>
            <w:tcW w:w="1418" w:type="dxa"/>
            <w:tcBorders>
              <w:top w:val="nil"/>
              <w:left w:val="nil"/>
              <w:bottom w:val="single" w:sz="4" w:space="0" w:color="000000"/>
              <w:right w:val="single" w:sz="4" w:space="0" w:color="000000"/>
            </w:tcBorders>
            <w:shd w:val="clear" w:color="auto" w:fill="auto"/>
            <w:vAlign w:val="bottom"/>
          </w:tcPr>
          <w:p w14:paraId="25F3F6A8" w14:textId="77777777" w:rsidR="00B50826" w:rsidRDefault="00006AE2">
            <w:pPr>
              <w:jc w:val="center"/>
              <w:rPr>
                <w:rFonts w:ascii="Calibri" w:eastAsia="Calibri" w:hAnsi="Calibri" w:cs="Calibri"/>
                <w:color w:val="002060"/>
                <w:sz w:val="22"/>
                <w:szCs w:val="22"/>
              </w:rPr>
            </w:pPr>
            <w:r>
              <w:rPr>
                <w:rFonts w:ascii="Calibri" w:eastAsia="Calibri" w:hAnsi="Calibri" w:cs="Calibri"/>
                <w:color w:val="002060"/>
                <w:sz w:val="22"/>
                <w:szCs w:val="22"/>
              </w:rPr>
              <w:t>248,500</w:t>
            </w:r>
          </w:p>
        </w:tc>
      </w:tr>
    </w:tbl>
    <w:p w14:paraId="0BD9810E" w14:textId="77777777" w:rsidR="00B50826" w:rsidRPr="005525DE" w:rsidRDefault="00006AE2" w:rsidP="005525DE">
      <w:pPr>
        <w:pBdr>
          <w:top w:val="nil"/>
          <w:left w:val="nil"/>
          <w:bottom w:val="nil"/>
          <w:right w:val="nil"/>
          <w:between w:val="nil"/>
        </w:pBdr>
        <w:shd w:val="clear" w:color="auto" w:fill="FFFFFF"/>
        <w:rPr>
          <w:rFonts w:ascii="Arial" w:eastAsia="Arial" w:hAnsi="Arial" w:cs="Arial"/>
          <w:color w:val="002060"/>
          <w:sz w:val="16"/>
          <w:szCs w:val="16"/>
        </w:rPr>
      </w:pPr>
      <w:r>
        <w:rPr>
          <w:rFonts w:ascii="Arial" w:eastAsia="Arial" w:hAnsi="Arial" w:cs="Arial"/>
          <w:b/>
          <w:i/>
          <w:color w:val="002060"/>
          <w:sz w:val="20"/>
          <w:szCs w:val="20"/>
        </w:rPr>
        <w:t xml:space="preserve">                        </w:t>
      </w:r>
      <w:r w:rsidRPr="005525DE">
        <w:rPr>
          <w:rFonts w:ascii="Arial" w:eastAsia="Arial" w:hAnsi="Arial" w:cs="Arial"/>
          <w:b/>
          <w:color w:val="002060"/>
          <w:sz w:val="20"/>
          <w:szCs w:val="20"/>
        </w:rPr>
        <w:t xml:space="preserve"> </w:t>
      </w:r>
      <w:r w:rsidRPr="005525DE">
        <w:rPr>
          <w:rFonts w:ascii="Arial" w:eastAsia="Arial" w:hAnsi="Arial" w:cs="Arial"/>
          <w:color w:val="002060"/>
          <w:sz w:val="16"/>
          <w:szCs w:val="16"/>
        </w:rPr>
        <w:t>Fuente: Geo Bosques – MINAN - 2019.</w:t>
      </w:r>
    </w:p>
    <w:p w14:paraId="3238AFDB" w14:textId="77777777" w:rsidR="00B50826" w:rsidRPr="005525DE" w:rsidRDefault="00006AE2" w:rsidP="005525DE">
      <w:pPr>
        <w:pBdr>
          <w:top w:val="nil"/>
          <w:left w:val="nil"/>
          <w:bottom w:val="nil"/>
          <w:right w:val="nil"/>
          <w:between w:val="nil"/>
        </w:pBdr>
        <w:shd w:val="clear" w:color="auto" w:fill="FFFFFF"/>
        <w:rPr>
          <w:rFonts w:ascii="Arial" w:eastAsia="Arial" w:hAnsi="Arial" w:cs="Arial"/>
          <w:color w:val="002060"/>
          <w:sz w:val="16"/>
          <w:szCs w:val="16"/>
        </w:rPr>
      </w:pPr>
      <w:r w:rsidRPr="005525DE">
        <w:rPr>
          <w:rFonts w:ascii="Arial" w:eastAsia="Arial" w:hAnsi="Arial" w:cs="Arial"/>
          <w:color w:val="002060"/>
          <w:sz w:val="16"/>
          <w:szCs w:val="16"/>
        </w:rPr>
        <w:tab/>
      </w:r>
      <w:r w:rsidRPr="005525DE">
        <w:rPr>
          <w:rFonts w:ascii="Arial" w:eastAsia="Arial" w:hAnsi="Arial" w:cs="Arial"/>
          <w:color w:val="002060"/>
          <w:sz w:val="16"/>
          <w:szCs w:val="16"/>
        </w:rPr>
        <w:tab/>
        <w:t>*Proyección calculada por ETAR.</w:t>
      </w:r>
    </w:p>
    <w:p w14:paraId="43BF401F" w14:textId="77777777" w:rsidR="00B50826" w:rsidRPr="005525DE" w:rsidRDefault="00B50826" w:rsidP="005525DE">
      <w:pPr>
        <w:pBdr>
          <w:top w:val="nil"/>
          <w:left w:val="nil"/>
          <w:bottom w:val="nil"/>
          <w:right w:val="nil"/>
          <w:between w:val="nil"/>
        </w:pBdr>
        <w:shd w:val="clear" w:color="auto" w:fill="FFFFFF"/>
        <w:rPr>
          <w:rFonts w:ascii="Arial" w:eastAsia="Arial" w:hAnsi="Arial" w:cs="Arial"/>
          <w:color w:val="002060"/>
          <w:sz w:val="20"/>
          <w:szCs w:val="20"/>
        </w:rPr>
      </w:pPr>
    </w:p>
    <w:p w14:paraId="1B0BBDC1"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2C7B5C72"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En el siguiente gráfico se puede observar el proceso de deforestación a nivel nacional, donde se evidencia un comportamiento creciente de la deforestación.</w:t>
      </w:r>
    </w:p>
    <w:p w14:paraId="13965842"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09C4A376" w14:textId="77777777" w:rsidR="00B50826" w:rsidRDefault="00006AE2">
      <w:pPr>
        <w:pBdr>
          <w:top w:val="nil"/>
          <w:left w:val="nil"/>
          <w:bottom w:val="nil"/>
          <w:right w:val="nil"/>
          <w:between w:val="nil"/>
        </w:pBdr>
        <w:shd w:val="clear" w:color="auto" w:fill="FFFFFF"/>
        <w:jc w:val="center"/>
        <w:rPr>
          <w:rFonts w:ascii="Arial" w:eastAsia="Arial" w:hAnsi="Arial" w:cs="Arial"/>
          <w:b/>
          <w:color w:val="002060"/>
          <w:sz w:val="20"/>
          <w:szCs w:val="20"/>
        </w:rPr>
      </w:pPr>
      <w:r>
        <w:rPr>
          <w:rFonts w:ascii="Arial" w:eastAsia="Arial" w:hAnsi="Arial" w:cs="Arial"/>
          <w:b/>
          <w:color w:val="002060"/>
          <w:sz w:val="20"/>
          <w:szCs w:val="20"/>
        </w:rPr>
        <w:t>Gráfico Nº 1: Proceso de deforestación Nacional</w:t>
      </w:r>
    </w:p>
    <w:p w14:paraId="57BFA448"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highlight w:val="yellow"/>
        </w:rPr>
      </w:pPr>
    </w:p>
    <w:p w14:paraId="6E0E43C2"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highlight w:val="yellow"/>
        </w:rPr>
      </w:pPr>
      <w:r>
        <w:rPr>
          <w:noProof/>
        </w:rPr>
        <w:drawing>
          <wp:inline distT="0" distB="0" distL="0" distR="0" wp14:anchorId="06D5FBBC" wp14:editId="5A2720FB">
            <wp:extent cx="5653454" cy="1661160"/>
            <wp:effectExtent l="0" t="0" r="4445" b="15240"/>
            <wp:docPr id="215" name="Gráfico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4A4F01"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highlight w:val="yellow"/>
        </w:rPr>
      </w:pPr>
    </w:p>
    <w:p w14:paraId="21C5B800"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lastRenderedPageBreak/>
        <w:t xml:space="preserve">De igual manera en el siguiente gráfico, se observa el proceso de deforestación regional, evidenciándose un comportamiento creciente en la pérdida de los bosques. </w:t>
      </w:r>
    </w:p>
    <w:p w14:paraId="39309B49" w14:textId="77777777" w:rsidR="00B50826" w:rsidRDefault="00B50826">
      <w:pPr>
        <w:pBdr>
          <w:top w:val="nil"/>
          <w:left w:val="nil"/>
          <w:bottom w:val="nil"/>
          <w:right w:val="nil"/>
          <w:between w:val="nil"/>
        </w:pBdr>
        <w:shd w:val="clear" w:color="auto" w:fill="FFFFFF"/>
        <w:jc w:val="center"/>
        <w:rPr>
          <w:rFonts w:ascii="Arial" w:eastAsia="Arial" w:hAnsi="Arial" w:cs="Arial"/>
          <w:b/>
          <w:color w:val="002060"/>
          <w:sz w:val="20"/>
          <w:szCs w:val="20"/>
        </w:rPr>
      </w:pPr>
    </w:p>
    <w:p w14:paraId="18C21DB5" w14:textId="77777777" w:rsidR="00B50826" w:rsidRDefault="00006AE2">
      <w:pPr>
        <w:pBdr>
          <w:top w:val="nil"/>
          <w:left w:val="nil"/>
          <w:bottom w:val="nil"/>
          <w:right w:val="nil"/>
          <w:between w:val="nil"/>
        </w:pBdr>
        <w:shd w:val="clear" w:color="auto" w:fill="FFFFFF"/>
        <w:jc w:val="center"/>
        <w:rPr>
          <w:rFonts w:ascii="Arial" w:eastAsia="Arial" w:hAnsi="Arial" w:cs="Arial"/>
          <w:color w:val="002060"/>
          <w:sz w:val="20"/>
          <w:szCs w:val="20"/>
          <w:highlight w:val="yellow"/>
        </w:rPr>
      </w:pPr>
      <w:r>
        <w:rPr>
          <w:rFonts w:ascii="Arial" w:eastAsia="Arial" w:hAnsi="Arial" w:cs="Arial"/>
          <w:b/>
          <w:color w:val="002060"/>
          <w:sz w:val="20"/>
          <w:szCs w:val="20"/>
        </w:rPr>
        <w:t xml:space="preserve">Gráfico Nº </w:t>
      </w:r>
      <w:proofErr w:type="gramStart"/>
      <w:r>
        <w:rPr>
          <w:rFonts w:ascii="Arial" w:eastAsia="Arial" w:hAnsi="Arial" w:cs="Arial"/>
          <w:b/>
          <w:color w:val="002060"/>
          <w:sz w:val="20"/>
          <w:szCs w:val="20"/>
        </w:rPr>
        <w:t>2 :</w:t>
      </w:r>
      <w:proofErr w:type="gramEnd"/>
      <w:r>
        <w:rPr>
          <w:rFonts w:ascii="Arial" w:eastAsia="Arial" w:hAnsi="Arial" w:cs="Arial"/>
          <w:b/>
          <w:color w:val="002060"/>
          <w:sz w:val="20"/>
          <w:szCs w:val="20"/>
        </w:rPr>
        <w:t xml:space="preserve"> Proceso de deforestación en la Región Huánuco</w:t>
      </w:r>
    </w:p>
    <w:p w14:paraId="69FA6897"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highlight w:val="yellow"/>
        </w:rPr>
      </w:pPr>
    </w:p>
    <w:p w14:paraId="468B5FC4" w14:textId="77777777" w:rsidR="00B50826" w:rsidRDefault="00006AE2">
      <w:pPr>
        <w:pBdr>
          <w:top w:val="nil"/>
          <w:left w:val="nil"/>
          <w:bottom w:val="nil"/>
          <w:right w:val="nil"/>
          <w:between w:val="nil"/>
        </w:pBdr>
        <w:shd w:val="clear" w:color="auto" w:fill="FFFFFF"/>
        <w:jc w:val="both"/>
        <w:rPr>
          <w:color w:val="002060"/>
          <w:highlight w:val="yellow"/>
        </w:rPr>
      </w:pPr>
      <w:r>
        <w:rPr>
          <w:noProof/>
        </w:rPr>
        <w:drawing>
          <wp:inline distT="0" distB="0" distL="0" distR="0" wp14:anchorId="2A29142D" wp14:editId="04F7D7C5">
            <wp:extent cx="5426710" cy="2000885"/>
            <wp:effectExtent l="0" t="0" r="0" b="0"/>
            <wp:docPr id="218" name="Gráfico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E5C628"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highlight w:val="yellow"/>
        </w:rPr>
      </w:pPr>
    </w:p>
    <w:p w14:paraId="68EFD235" w14:textId="77777777" w:rsidR="008D1A33" w:rsidRDefault="008D1A33">
      <w:pPr>
        <w:pBdr>
          <w:top w:val="nil"/>
          <w:left w:val="nil"/>
          <w:bottom w:val="nil"/>
          <w:right w:val="nil"/>
          <w:between w:val="nil"/>
        </w:pBdr>
        <w:shd w:val="clear" w:color="auto" w:fill="FFFFFF"/>
        <w:jc w:val="both"/>
        <w:rPr>
          <w:rFonts w:ascii="Arial" w:eastAsia="Arial" w:hAnsi="Arial" w:cs="Arial"/>
          <w:color w:val="002060"/>
          <w:sz w:val="20"/>
          <w:szCs w:val="20"/>
        </w:rPr>
      </w:pPr>
    </w:p>
    <w:p w14:paraId="536027D3"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Este proceso de deforestación se registra desde el año 2000 y, se ha desarrollado en diversas tipologías de bosque, como se puede apreciar en el siguiente gráfico.</w:t>
      </w:r>
    </w:p>
    <w:p w14:paraId="2AE4AB10"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 xml:space="preserve"> </w:t>
      </w:r>
    </w:p>
    <w:p w14:paraId="21833D63"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noProof/>
        </w:rPr>
        <w:drawing>
          <wp:inline distT="0" distB="0" distL="0" distR="0" wp14:anchorId="331D56BE" wp14:editId="07957704">
            <wp:extent cx="5618284" cy="2374900"/>
            <wp:effectExtent l="0" t="0" r="1905" b="6350"/>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D6B7C3"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4254818A"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En el gráfico precedente se puede evidenciar que en los últimos 18 años, el proceso de deforestación ha tenido un comportamiento similar por tipología de bosque; siendo mayor en el “Bosque de Libre Disponibilidad del Estado” (50.30%), seguido de “Bosques de Producción Permanente – BPP” (25.10%), predios rurales (14.60%) y comunidades nativas (6.60%)</w:t>
      </w:r>
      <w:r>
        <w:rPr>
          <w:rFonts w:ascii="Calibri" w:eastAsia="Calibri" w:hAnsi="Calibri" w:cs="Calibri"/>
          <w:color w:val="002060"/>
          <w:sz w:val="18"/>
          <w:szCs w:val="18"/>
          <w:vertAlign w:val="superscript"/>
        </w:rPr>
        <w:footnoteReference w:id="7"/>
      </w:r>
      <w:r>
        <w:rPr>
          <w:rFonts w:ascii="Arial" w:eastAsia="Arial" w:hAnsi="Arial" w:cs="Arial"/>
          <w:color w:val="002060"/>
          <w:sz w:val="20"/>
          <w:szCs w:val="20"/>
        </w:rPr>
        <w:t>.</w:t>
      </w:r>
    </w:p>
    <w:p w14:paraId="3EFA72D5"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29143E35"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Con la implementación de esta estrategia se logrará reducir gradualmente la deforestación, teniendo como meta al 2030, reducirla a 4,200 ha/año, tal como se proyecta en las barras azules del siguiente gráfico.</w:t>
      </w:r>
    </w:p>
    <w:p w14:paraId="08A32F27"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7754B1F9"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noProof/>
        </w:rPr>
        <w:lastRenderedPageBreak/>
        <w:drawing>
          <wp:inline distT="0" distB="0" distL="0" distR="0" wp14:anchorId="0C038C94" wp14:editId="7F34BF1C">
            <wp:extent cx="5391150" cy="2190466"/>
            <wp:effectExtent l="0" t="0" r="0" b="635"/>
            <wp:docPr id="217" name="Gráfico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3C9040"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3976A537" w14:textId="77777777" w:rsidR="00B50826" w:rsidRDefault="00006AE2">
      <w:pPr>
        <w:pBdr>
          <w:top w:val="nil"/>
          <w:left w:val="nil"/>
          <w:bottom w:val="nil"/>
          <w:right w:val="nil"/>
          <w:between w:val="nil"/>
        </w:pBdr>
        <w:shd w:val="clear" w:color="auto" w:fill="FFFFFF"/>
        <w:jc w:val="both"/>
        <w:rPr>
          <w:rFonts w:ascii="Arial" w:eastAsia="Arial" w:hAnsi="Arial" w:cs="Arial"/>
          <w:color w:val="002060"/>
          <w:sz w:val="20"/>
          <w:szCs w:val="20"/>
        </w:rPr>
      </w:pPr>
      <w:r>
        <w:rPr>
          <w:rFonts w:ascii="Arial" w:eastAsia="Arial" w:hAnsi="Arial" w:cs="Arial"/>
          <w:color w:val="002060"/>
          <w:sz w:val="20"/>
          <w:szCs w:val="20"/>
        </w:rPr>
        <w:t>En el gráfico precedente se puede observar claramente la proyección del proceso de deforestación creciente (línea marrón), si no se toman acciones para detener este proceso, que atenta contra los ecosistemas.</w:t>
      </w:r>
    </w:p>
    <w:p w14:paraId="17AD1124" w14:textId="77777777" w:rsidR="00B50826" w:rsidRDefault="00B50826">
      <w:pPr>
        <w:pBdr>
          <w:top w:val="nil"/>
          <w:left w:val="nil"/>
          <w:bottom w:val="nil"/>
          <w:right w:val="nil"/>
          <w:between w:val="nil"/>
        </w:pBdr>
        <w:shd w:val="clear" w:color="auto" w:fill="FFFFFF"/>
        <w:jc w:val="both"/>
        <w:rPr>
          <w:rFonts w:ascii="Arial" w:eastAsia="Arial" w:hAnsi="Arial" w:cs="Arial"/>
          <w:color w:val="002060"/>
          <w:sz w:val="20"/>
          <w:szCs w:val="20"/>
        </w:rPr>
      </w:pPr>
    </w:p>
    <w:p w14:paraId="6577439B" w14:textId="77777777" w:rsidR="008D1A33" w:rsidRDefault="008D1A33" w:rsidP="008D1A33">
      <w:pPr>
        <w:pBdr>
          <w:top w:val="nil"/>
          <w:left w:val="nil"/>
          <w:bottom w:val="nil"/>
          <w:right w:val="nil"/>
          <w:between w:val="nil"/>
        </w:pBdr>
        <w:rPr>
          <w:rFonts w:ascii="Arial" w:eastAsia="Arial" w:hAnsi="Arial" w:cs="Arial"/>
          <w:b/>
          <w:color w:val="002060"/>
        </w:rPr>
      </w:pPr>
    </w:p>
    <w:p w14:paraId="2B696D9F" w14:textId="77777777" w:rsidR="00B50826" w:rsidRDefault="00006AE2" w:rsidP="008D1A33">
      <w:pPr>
        <w:pBdr>
          <w:top w:val="nil"/>
          <w:left w:val="nil"/>
          <w:bottom w:val="nil"/>
          <w:right w:val="nil"/>
          <w:between w:val="nil"/>
        </w:pBdr>
        <w:rPr>
          <w:rFonts w:ascii="Arial" w:eastAsia="Arial" w:hAnsi="Arial" w:cs="Arial"/>
          <w:b/>
          <w:color w:val="002060"/>
        </w:rPr>
      </w:pPr>
      <w:r>
        <w:rPr>
          <w:rFonts w:ascii="Arial" w:eastAsia="Arial" w:hAnsi="Arial" w:cs="Arial"/>
          <w:b/>
          <w:color w:val="002060"/>
        </w:rPr>
        <w:t>Contexto Regional</w:t>
      </w:r>
    </w:p>
    <w:p w14:paraId="069F3E36"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2622621B" w14:textId="77777777" w:rsidR="00B50826" w:rsidRDefault="00006AE2" w:rsidP="008D1A33">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La Región Huánuco registra en los últimos 50 años, aumento de la precipitación anual y disminución estacional durante la época de estiaje, así como el incremento en la incidencia de eventos extremos (heladas, inundaciones, lluvias) y un incremento de temperaturas mínimas y máximas. Al 2030, la precipitación anual aumentaría en un rango de 5% a 10%; en tanto que las temperaturas máximas y mínimas mostrarían incrementos en el rango de 1.4 a 1,6 °C. </w:t>
      </w:r>
    </w:p>
    <w:p w14:paraId="101A5A09"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5DFCD5E6" w14:textId="77777777" w:rsidR="00B50826" w:rsidRDefault="00006AE2" w:rsidP="008D1A33">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En cuanto a la incidencia de eventos extremos asociados al cambio climático, se observa un aumento gradual-anual del año 2003 al 2012, registrándose más de 1,301 eventos hidro-climáticos causando daños a personas, infraestructura social y vial o daños al sector productivo. Los eventos que ocurren con más frecuencia son las lluvias (27%), vientos fuertes (22%), heladas (15%) e inundaciones (14%). </w:t>
      </w:r>
    </w:p>
    <w:p w14:paraId="47A6AF19"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6098240D" w14:textId="77777777" w:rsidR="00B50826" w:rsidRDefault="00006AE2" w:rsidP="008D1A33">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Los principales impactos asociados al cambio climático son: 1) Reducción del área glaciar de la cordillera Huayhuash y Rasura en un 35%, 2) daños a la vida y salud de la población y provisión de servicios de salud, resultando un total de 829,468 personas damnificadas y afectadas por heladas (20%), inundaciones (9%); lluvias (22%) y por huaycos (29%); 3) daños en la infraestructura educativa y los servicios educativos, a causa de inundaciones (10 IIEE) y lluvias intensas (5 IIEE), siendo la UGEL de Puerto Inca la más afectada por inundaciones, 4) 9,493 viviendas fueron afectadas, de ellas: 5,996 por inundaciones; 1,256 por lluvias y 1,283 por vientos fuertes; 17 interrupciones del servicio por el impacto de deslizamientos e inundaciones en sistemas de agua potable y saneamiento básico. Las inundaciones y lluvias han afectado mucho más a las viviendas ubicadas en la Amazonía, 5) Las lluvias, inundaciones y heladas han provocado 53,578 hectáreas de cultivos perdidos/afectados, 290,630 unidades pecuarias mayores y 152,507 unidades de crianzas menores han sufrido enfermedades y/o consecuente mortandad. Los impactos dan cuenta de la alteración de los periodos de siembra y cosecha principalmente de cultivos de secano (trigo, maíz amiláceo, papa); 6) Los huaycos afectaron a 178,8 km de carreteras, deslizamientos afectaron a 7.8 km de carretera, 8 puentes y 7.5 km de canal de riego, las inundaciones dañaron 112.5 km de carreteras y 2 puentes, los derrumbes afectaron 162 km de carreteras. En relación a las causas que contribuyen a la generación de Gases de Efecto Invernadero (GEI), se tiene que la principal fuente de emisiones proviene del Uso de Suelo, Cambio de Uso del Suelo y Silvicultura (USCUSS), atribuido principalmente a la deforestación. El área de cambio de cobertura de bosques a no bosques en el departamento de Huánuco entre los años 2001 y 2018 fue de 319,123 ha, cifra que solo en 2018 se incrementó a 15,560 has.</w:t>
      </w:r>
    </w:p>
    <w:p w14:paraId="47ABFBFC"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2BEED6A7" w14:textId="77777777" w:rsidR="00B50826" w:rsidRDefault="00006AE2" w:rsidP="008D1A33">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lastRenderedPageBreak/>
        <w:t>El Gobierno Regional cuenta con la estrategia Regional de Cambio Climático y su plan de implementación 2017 – 2021</w:t>
      </w:r>
      <w:r>
        <w:rPr>
          <w:rFonts w:ascii="Calibri" w:eastAsia="Calibri" w:hAnsi="Calibri" w:cs="Calibri"/>
          <w:color w:val="002060"/>
          <w:sz w:val="18"/>
          <w:szCs w:val="18"/>
          <w:vertAlign w:val="superscript"/>
        </w:rPr>
        <w:footnoteReference w:id="8"/>
      </w:r>
      <w:r>
        <w:rPr>
          <w:rFonts w:ascii="Arial" w:eastAsia="Arial" w:hAnsi="Arial" w:cs="Arial"/>
          <w:color w:val="002060"/>
          <w:sz w:val="20"/>
          <w:szCs w:val="20"/>
        </w:rPr>
        <w:t xml:space="preserve"> y conforma el Consejo Regional de Cambio Climático</w:t>
      </w:r>
      <w:r>
        <w:rPr>
          <w:rFonts w:ascii="Calibri" w:eastAsia="Calibri" w:hAnsi="Calibri" w:cs="Calibri"/>
          <w:color w:val="002060"/>
          <w:sz w:val="18"/>
          <w:szCs w:val="18"/>
          <w:vertAlign w:val="superscript"/>
        </w:rPr>
        <w:footnoteReference w:id="9"/>
      </w:r>
      <w:r>
        <w:rPr>
          <w:rFonts w:ascii="Arial" w:eastAsia="Arial" w:hAnsi="Arial" w:cs="Arial"/>
          <w:color w:val="002060"/>
          <w:sz w:val="20"/>
          <w:szCs w:val="20"/>
        </w:rPr>
        <w:t>, Ley Orgánica de Gobiernos Regionales y a lo manifestado en el inciso c) del Art. 53° de la mencionada Ley que, establece dentro de las funciones en materia ambiental “Formular, coordinar, y supervisar la aplicación de estrategias regionales respecto de la diversidad biológica y sobre cambio climático dentro del marco de las estrategias nacionales respectivas.</w:t>
      </w:r>
    </w:p>
    <w:p w14:paraId="04AD91EC"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highlight w:val="white"/>
        </w:rPr>
      </w:pPr>
    </w:p>
    <w:p w14:paraId="11C3C8A1" w14:textId="77777777" w:rsidR="00B50826" w:rsidRDefault="00006AE2" w:rsidP="006F0738">
      <w:pPr>
        <w:pBdr>
          <w:top w:val="nil"/>
          <w:left w:val="nil"/>
          <w:bottom w:val="nil"/>
          <w:right w:val="nil"/>
          <w:between w:val="nil"/>
        </w:pBdr>
        <w:jc w:val="both"/>
        <w:rPr>
          <w:rFonts w:ascii="Arial" w:eastAsia="Arial" w:hAnsi="Arial" w:cs="Arial"/>
          <w:color w:val="002060"/>
          <w:sz w:val="20"/>
          <w:szCs w:val="20"/>
          <w:highlight w:val="white"/>
        </w:rPr>
      </w:pPr>
      <w:r>
        <w:rPr>
          <w:rFonts w:ascii="Arial" w:eastAsia="Arial" w:hAnsi="Arial" w:cs="Arial"/>
          <w:color w:val="002060"/>
          <w:sz w:val="20"/>
          <w:szCs w:val="20"/>
          <w:highlight w:val="white"/>
        </w:rPr>
        <w:t>Cuenta con opinión técnica favorable del Ministerio del Ambiente a la Estrategia Regional de Cambio Climático del Gobierno Regional de Huánuco</w:t>
      </w:r>
      <w:r>
        <w:rPr>
          <w:rFonts w:ascii="Calibri" w:eastAsia="Calibri" w:hAnsi="Calibri" w:cs="Calibri"/>
          <w:color w:val="002060"/>
          <w:sz w:val="18"/>
          <w:szCs w:val="18"/>
          <w:highlight w:val="white"/>
          <w:vertAlign w:val="superscript"/>
        </w:rPr>
        <w:footnoteReference w:id="10"/>
      </w:r>
      <w:r>
        <w:rPr>
          <w:rFonts w:ascii="Arial" w:eastAsia="Arial" w:hAnsi="Arial" w:cs="Arial"/>
          <w:color w:val="002060"/>
          <w:sz w:val="20"/>
          <w:szCs w:val="20"/>
          <w:highlight w:val="white"/>
        </w:rPr>
        <w:t>; recomendando la inclusión de acciones y medidas estratégicas de la ERCC en el Plan de Desarrollo Regional Concertado, Plan Estratégico Institucional, Planes Operativos Anuales, Proyectos de Inversión Pública u otros a fin de asegurar su implementación.</w:t>
      </w:r>
    </w:p>
    <w:p w14:paraId="1EF47D51" w14:textId="77777777" w:rsidR="00B50826" w:rsidRDefault="00B50826">
      <w:pPr>
        <w:pBdr>
          <w:top w:val="nil"/>
          <w:left w:val="nil"/>
          <w:bottom w:val="nil"/>
          <w:right w:val="nil"/>
          <w:between w:val="nil"/>
        </w:pBdr>
        <w:ind w:left="720" w:hanging="720"/>
        <w:jc w:val="both"/>
        <w:rPr>
          <w:rFonts w:ascii="Arial" w:eastAsia="Arial" w:hAnsi="Arial" w:cs="Arial"/>
          <w:color w:val="002060"/>
          <w:sz w:val="20"/>
          <w:szCs w:val="20"/>
        </w:rPr>
      </w:pPr>
    </w:p>
    <w:p w14:paraId="24784214" w14:textId="77777777" w:rsidR="00B50826" w:rsidRDefault="00B50826">
      <w:pPr>
        <w:pBdr>
          <w:top w:val="nil"/>
          <w:left w:val="nil"/>
          <w:bottom w:val="nil"/>
          <w:right w:val="nil"/>
          <w:between w:val="nil"/>
        </w:pBdr>
        <w:ind w:hanging="720"/>
        <w:jc w:val="both"/>
        <w:rPr>
          <w:rFonts w:ascii="Arial" w:eastAsia="Arial" w:hAnsi="Arial" w:cs="Arial"/>
          <w:b/>
          <w:color w:val="002060"/>
        </w:rPr>
      </w:pPr>
    </w:p>
    <w:p w14:paraId="348BAED7" w14:textId="77777777" w:rsidR="00B50826" w:rsidRDefault="00006AE2" w:rsidP="004A2D66">
      <w:pPr>
        <w:pBdr>
          <w:top w:val="nil"/>
          <w:left w:val="nil"/>
          <w:bottom w:val="nil"/>
          <w:right w:val="nil"/>
          <w:between w:val="nil"/>
        </w:pBdr>
        <w:jc w:val="both"/>
        <w:rPr>
          <w:rFonts w:ascii="Arial" w:eastAsia="Arial" w:hAnsi="Arial" w:cs="Arial"/>
          <w:b/>
          <w:color w:val="002060"/>
        </w:rPr>
      </w:pPr>
      <w:r w:rsidRPr="006F0738">
        <w:rPr>
          <w:rFonts w:ascii="Arial" w:eastAsia="Arial" w:hAnsi="Arial" w:cs="Arial"/>
          <w:b/>
          <w:color w:val="002060"/>
          <w:highlight w:val="yellow"/>
        </w:rPr>
        <w:t>Contexto Nacional.</w:t>
      </w:r>
    </w:p>
    <w:p w14:paraId="6DBF4312" w14:textId="77777777" w:rsidR="00B50826" w:rsidRDefault="00B50826">
      <w:pPr>
        <w:pBdr>
          <w:top w:val="nil"/>
          <w:left w:val="nil"/>
          <w:bottom w:val="nil"/>
          <w:right w:val="nil"/>
          <w:between w:val="nil"/>
        </w:pBdr>
        <w:ind w:hanging="720"/>
        <w:jc w:val="both"/>
        <w:rPr>
          <w:rFonts w:ascii="Arial" w:eastAsia="Arial" w:hAnsi="Arial" w:cs="Arial"/>
          <w:b/>
          <w:color w:val="002060"/>
        </w:rPr>
      </w:pPr>
    </w:p>
    <w:p w14:paraId="5D7D08FE" w14:textId="77777777" w:rsidR="00211798" w:rsidRDefault="00211798" w:rsidP="004A2D66">
      <w:pPr>
        <w:pBdr>
          <w:top w:val="nil"/>
          <w:left w:val="nil"/>
          <w:bottom w:val="nil"/>
          <w:right w:val="nil"/>
          <w:between w:val="nil"/>
        </w:pBdr>
        <w:jc w:val="both"/>
        <w:rPr>
          <w:rFonts w:ascii="Arial" w:eastAsia="Arial" w:hAnsi="Arial" w:cs="Arial"/>
          <w:color w:val="002060"/>
          <w:sz w:val="20"/>
          <w:szCs w:val="20"/>
        </w:rPr>
      </w:pPr>
      <w:r w:rsidRPr="004A2D66">
        <w:rPr>
          <w:rFonts w:ascii="Arial" w:eastAsia="Arial" w:hAnsi="Arial" w:cs="Arial"/>
          <w:color w:val="002060"/>
          <w:sz w:val="20"/>
          <w:szCs w:val="20"/>
        </w:rPr>
        <w:t xml:space="preserve">La pandemia del COVID 19 nos </w:t>
      </w:r>
      <w:r>
        <w:rPr>
          <w:rFonts w:ascii="Arial" w:eastAsia="Arial" w:hAnsi="Arial" w:cs="Arial"/>
          <w:color w:val="002060"/>
          <w:sz w:val="20"/>
          <w:szCs w:val="20"/>
        </w:rPr>
        <w:t xml:space="preserve">obliga </w:t>
      </w:r>
      <w:r w:rsidRPr="004A2D66">
        <w:rPr>
          <w:rFonts w:ascii="Arial" w:eastAsia="Arial" w:hAnsi="Arial" w:cs="Arial"/>
          <w:color w:val="002060"/>
          <w:sz w:val="20"/>
          <w:szCs w:val="20"/>
        </w:rPr>
        <w:t>a la reflexión sobre las consecuencias que va a tener el cambio climático; especialistas en el tema reiteran que si no se toman acciones ya, el cambio climático “va a generar dolor y sufrimiento humano parecido al que estamos viviendo ahora”.</w:t>
      </w:r>
    </w:p>
    <w:p w14:paraId="20CED111" w14:textId="77777777" w:rsidR="00211798" w:rsidRDefault="00211798" w:rsidP="004A2D66">
      <w:pPr>
        <w:pBdr>
          <w:top w:val="nil"/>
          <w:left w:val="nil"/>
          <w:bottom w:val="nil"/>
          <w:right w:val="nil"/>
          <w:between w:val="nil"/>
        </w:pBdr>
        <w:jc w:val="both"/>
        <w:rPr>
          <w:rFonts w:ascii="Arial" w:eastAsia="Arial" w:hAnsi="Arial" w:cs="Arial"/>
          <w:color w:val="002060"/>
          <w:sz w:val="20"/>
          <w:szCs w:val="20"/>
        </w:rPr>
      </w:pPr>
    </w:p>
    <w:p w14:paraId="39373605" w14:textId="77777777" w:rsidR="00B50826" w:rsidRDefault="00006AE2" w:rsidP="004A2D66">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El Perú ha sido considerado dentro de los diez países más vulnerables del mundo al Cambio Climático, la alta dependencia de las actividades económicas primarias a los factores relacionados directa o indirectamente con el clima eleva su vulnerabilidad y pone en riesgo el desarrollo sostenible y calidad de vida de las poblaciones; </w:t>
      </w:r>
      <w:r w:rsidR="004A2D66">
        <w:rPr>
          <w:rFonts w:ascii="Arial" w:eastAsia="Arial" w:hAnsi="Arial" w:cs="Arial"/>
          <w:color w:val="002060"/>
          <w:sz w:val="20"/>
          <w:szCs w:val="20"/>
        </w:rPr>
        <w:t xml:space="preserve">se </w:t>
      </w:r>
      <w:r>
        <w:rPr>
          <w:rFonts w:ascii="Arial" w:eastAsia="Arial" w:hAnsi="Arial" w:cs="Arial"/>
          <w:color w:val="002060"/>
          <w:sz w:val="20"/>
          <w:szCs w:val="20"/>
        </w:rPr>
        <w:t>aprueba el Plan Nacional de Acción Ambiental PLANAA PERU: 2011 – 2021</w:t>
      </w:r>
      <w:r>
        <w:rPr>
          <w:rFonts w:ascii="Calibri" w:eastAsia="Calibri" w:hAnsi="Calibri" w:cs="Calibri"/>
          <w:color w:val="002060"/>
          <w:sz w:val="18"/>
          <w:szCs w:val="18"/>
          <w:vertAlign w:val="superscript"/>
        </w:rPr>
        <w:footnoteReference w:id="11"/>
      </w:r>
      <w:r>
        <w:rPr>
          <w:rFonts w:ascii="Arial" w:eastAsia="Arial" w:hAnsi="Arial" w:cs="Arial"/>
          <w:color w:val="002060"/>
          <w:sz w:val="20"/>
          <w:szCs w:val="20"/>
        </w:rPr>
        <w:t>, que establece metas prioritarias: (…) 6. Metas Prioritarias al 2021. siendo. (…) 4. Bosques y Cambio Climático: Reducción a cero de la tasa de deforestación en 54 millones de hectáreas de bosques primarios bajo diversas categorías de ordenamiento territorial contribuyendo, conjuntamente con otras iniciativas, a reducir el 47.5% de emisiones de gases de efecto invernadero en el país, generados por el cambio de uso de la tierra; así como a disminuir la vulnerabilidad frente al cambio climático.</w:t>
      </w:r>
    </w:p>
    <w:p w14:paraId="1620242D" w14:textId="77777777" w:rsidR="004A2D66" w:rsidRDefault="004A2D66" w:rsidP="004A2D66">
      <w:pPr>
        <w:pBdr>
          <w:top w:val="nil"/>
          <w:left w:val="nil"/>
          <w:bottom w:val="nil"/>
          <w:right w:val="nil"/>
          <w:between w:val="nil"/>
        </w:pBdr>
        <w:jc w:val="both"/>
        <w:rPr>
          <w:rFonts w:ascii="Arial" w:eastAsia="Arial" w:hAnsi="Arial" w:cs="Arial"/>
          <w:color w:val="002060"/>
          <w:sz w:val="20"/>
          <w:szCs w:val="20"/>
        </w:rPr>
      </w:pPr>
    </w:p>
    <w:p w14:paraId="6A189B53"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El cambio climático en el Perú ha sido un tema recurrente durante los últimos 25 años, período durante el cual se ha venido incluyendo en la agenda político ambiental nacional debido a las convocatorias de diversos organismos internacionales, a los compromisos de acción firmados y a los fondos generados para acciones de monitoreo, investigación y otras, que comenzaron a hacer visible este problema global.</w:t>
      </w:r>
    </w:p>
    <w:p w14:paraId="4D0BBC35" w14:textId="77777777" w:rsidR="00211798" w:rsidRDefault="00211798" w:rsidP="004A2D66">
      <w:pPr>
        <w:pBdr>
          <w:top w:val="nil"/>
          <w:left w:val="nil"/>
          <w:bottom w:val="nil"/>
          <w:right w:val="nil"/>
          <w:between w:val="nil"/>
        </w:pBdr>
        <w:jc w:val="both"/>
        <w:rPr>
          <w:rFonts w:ascii="Arial" w:eastAsia="Arial" w:hAnsi="Arial" w:cs="Arial"/>
          <w:color w:val="002060"/>
          <w:sz w:val="20"/>
          <w:szCs w:val="20"/>
        </w:rPr>
      </w:pPr>
    </w:p>
    <w:p w14:paraId="56401D29" w14:textId="77777777" w:rsidR="00B50826" w:rsidRDefault="00211798" w:rsidP="004A2D66">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C</w:t>
      </w:r>
      <w:r w:rsidR="00006AE2">
        <w:rPr>
          <w:rFonts w:ascii="Arial" w:eastAsia="Arial" w:hAnsi="Arial" w:cs="Arial"/>
          <w:color w:val="002060"/>
          <w:sz w:val="20"/>
          <w:szCs w:val="20"/>
        </w:rPr>
        <w:t>omo parte de los compromisos asumidos dentro de la CMNUCC, se aprueba la Estrategia Nacional ante el Cambio Climático (ENCC)</w:t>
      </w:r>
      <w:r w:rsidR="00006AE2">
        <w:rPr>
          <w:rFonts w:ascii="Calibri" w:eastAsia="Calibri" w:hAnsi="Calibri" w:cs="Calibri"/>
          <w:color w:val="002060"/>
          <w:sz w:val="18"/>
          <w:szCs w:val="18"/>
          <w:vertAlign w:val="superscript"/>
        </w:rPr>
        <w:footnoteReference w:id="12"/>
      </w:r>
      <w:r w:rsidR="00006AE2">
        <w:rPr>
          <w:rFonts w:ascii="Arial" w:eastAsia="Arial" w:hAnsi="Arial" w:cs="Arial"/>
          <w:color w:val="002060"/>
          <w:sz w:val="20"/>
          <w:szCs w:val="20"/>
        </w:rPr>
        <w:t>, instrumento que orienta y articula la gestión del cambio climático en el país, promueve el paso de la planificación a la acción y facilita la incorporación del tema del cambio climático en la agenda de desarrollo nacional. La ENCC establece dos objetivos estratégicos que vinculan claramente nuestro accionar ante el cambio climático procurando un desarrollo bajo en carbono y resiliente al clima, a través del incremento de conciencia y capacidad adaptativa de la población, los agentes económicos y el Estado.</w:t>
      </w:r>
    </w:p>
    <w:p w14:paraId="74AB9AEA"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7662E7DC" w14:textId="77777777" w:rsidR="00B50826" w:rsidRDefault="00006AE2" w:rsidP="004A2D66">
      <w:pPr>
        <w:pBdr>
          <w:top w:val="nil"/>
          <w:left w:val="nil"/>
          <w:bottom w:val="nil"/>
          <w:right w:val="nil"/>
          <w:between w:val="nil"/>
        </w:pBdr>
        <w:jc w:val="both"/>
        <w:rPr>
          <w:rFonts w:ascii="Arial" w:eastAsia="Arial" w:hAnsi="Arial" w:cs="Arial"/>
          <w:color w:val="002060"/>
          <w:sz w:val="18"/>
          <w:szCs w:val="18"/>
          <w:highlight w:val="white"/>
        </w:rPr>
      </w:pPr>
      <w:r>
        <w:rPr>
          <w:rFonts w:ascii="Arial" w:eastAsia="Arial" w:hAnsi="Arial" w:cs="Arial"/>
          <w:color w:val="002060"/>
          <w:sz w:val="20"/>
          <w:szCs w:val="20"/>
        </w:rPr>
        <w:t>Finalmente, se aprueban los “Lineamientos para la Gestión Integrada del Cambio Climático”</w:t>
      </w:r>
      <w:r>
        <w:rPr>
          <w:rFonts w:ascii="Calibri" w:eastAsia="Calibri" w:hAnsi="Calibri" w:cs="Calibri"/>
          <w:color w:val="002060"/>
          <w:sz w:val="18"/>
          <w:szCs w:val="18"/>
          <w:vertAlign w:val="superscript"/>
        </w:rPr>
        <w:footnoteReference w:id="13"/>
      </w:r>
      <w:r>
        <w:rPr>
          <w:rFonts w:ascii="Arial" w:eastAsia="Arial" w:hAnsi="Arial" w:cs="Arial"/>
          <w:color w:val="002060"/>
          <w:sz w:val="20"/>
          <w:szCs w:val="20"/>
        </w:rPr>
        <w:t>, cuyo objetivo es fortalecer la gestión integrada del cambio climático, a través de la implementación de un proceso de concertación multisectorial y multinivel del sector público y privado, y de la sociedad civil, orientado a diseñar, formular e implementar medidas de reducción de emisiones de GEI y de adaptación alineadas a las políticas, planes y acciones de desarrollo vinculadas a la gestión de cambio climático y al cumplimiento de los compromisos adquiridos internacionalmente</w:t>
      </w:r>
      <w:r>
        <w:rPr>
          <w:rFonts w:ascii="Calibri" w:eastAsia="Calibri" w:hAnsi="Calibri" w:cs="Calibri"/>
          <w:color w:val="002060"/>
          <w:sz w:val="18"/>
          <w:szCs w:val="18"/>
          <w:vertAlign w:val="superscript"/>
        </w:rPr>
        <w:footnoteReference w:id="14"/>
      </w:r>
      <w:r>
        <w:rPr>
          <w:rFonts w:ascii="Arial" w:eastAsia="Arial" w:hAnsi="Arial" w:cs="Arial"/>
          <w:color w:val="002060"/>
          <w:sz w:val="20"/>
          <w:szCs w:val="20"/>
        </w:rPr>
        <w:t xml:space="preserve">, </w:t>
      </w:r>
      <w:r>
        <w:rPr>
          <w:rFonts w:ascii="Arial" w:eastAsia="Arial" w:hAnsi="Arial" w:cs="Arial"/>
          <w:color w:val="002060"/>
          <w:sz w:val="18"/>
          <w:szCs w:val="18"/>
          <w:highlight w:val="white"/>
        </w:rPr>
        <w:t xml:space="preserve">relacionadas al cumplimiento de sus Contribuciones Nacionalmente Determinadas (NCD), que incluye acciones de </w:t>
      </w:r>
      <w:r>
        <w:rPr>
          <w:rFonts w:ascii="Arial" w:eastAsia="Arial" w:hAnsi="Arial" w:cs="Arial"/>
          <w:color w:val="002060"/>
          <w:sz w:val="18"/>
          <w:szCs w:val="18"/>
          <w:highlight w:val="white"/>
        </w:rPr>
        <w:lastRenderedPageBreak/>
        <w:t>adaptación al cambio climático, reducción de emisiones de GEI y aumento y conservación de las reservas de carbono.</w:t>
      </w:r>
    </w:p>
    <w:p w14:paraId="4B65CFA4"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1BDBB600" w14:textId="77777777" w:rsidR="002A6B9A" w:rsidRDefault="002A6B9A" w:rsidP="004A2D66">
      <w:pPr>
        <w:pBdr>
          <w:top w:val="nil"/>
          <w:left w:val="nil"/>
          <w:bottom w:val="nil"/>
          <w:right w:val="nil"/>
          <w:between w:val="nil"/>
        </w:pBdr>
        <w:jc w:val="both"/>
        <w:rPr>
          <w:rFonts w:ascii="Arial" w:eastAsia="Arial" w:hAnsi="Arial" w:cs="Arial"/>
          <w:b/>
          <w:color w:val="002060"/>
        </w:rPr>
      </w:pPr>
    </w:p>
    <w:p w14:paraId="56E1D54C" w14:textId="77777777" w:rsidR="00B50826" w:rsidRDefault="00006AE2" w:rsidP="004A2D66">
      <w:pPr>
        <w:pBdr>
          <w:top w:val="nil"/>
          <w:left w:val="nil"/>
          <w:bottom w:val="nil"/>
          <w:right w:val="nil"/>
          <w:between w:val="nil"/>
        </w:pBdr>
        <w:jc w:val="both"/>
        <w:rPr>
          <w:rFonts w:ascii="Arial" w:eastAsia="Arial" w:hAnsi="Arial" w:cs="Arial"/>
          <w:b/>
          <w:color w:val="002060"/>
        </w:rPr>
      </w:pPr>
      <w:r>
        <w:rPr>
          <w:rFonts w:ascii="Arial" w:eastAsia="Arial" w:hAnsi="Arial" w:cs="Arial"/>
          <w:b/>
          <w:color w:val="002060"/>
        </w:rPr>
        <w:t>Contexto Internacional.</w:t>
      </w:r>
    </w:p>
    <w:p w14:paraId="30C0A066" w14:textId="77777777" w:rsidR="00B50826" w:rsidRDefault="00B50826">
      <w:pPr>
        <w:pBdr>
          <w:top w:val="nil"/>
          <w:left w:val="nil"/>
          <w:bottom w:val="nil"/>
          <w:right w:val="nil"/>
          <w:between w:val="nil"/>
        </w:pBdr>
        <w:ind w:hanging="720"/>
        <w:jc w:val="both"/>
        <w:rPr>
          <w:rFonts w:ascii="Arial" w:eastAsia="Arial" w:hAnsi="Arial" w:cs="Arial"/>
          <w:b/>
          <w:color w:val="002060"/>
        </w:rPr>
      </w:pPr>
    </w:p>
    <w:p w14:paraId="68D63016" w14:textId="77777777" w:rsidR="004A2D66" w:rsidRDefault="004A2D66">
      <w:pPr>
        <w:jc w:val="both"/>
        <w:rPr>
          <w:rFonts w:ascii="Arial" w:hAnsi="Arial" w:cs="Arial"/>
          <w:color w:val="002060"/>
          <w:sz w:val="20"/>
          <w:szCs w:val="20"/>
        </w:rPr>
      </w:pPr>
      <w:r w:rsidRPr="00211798">
        <w:rPr>
          <w:rFonts w:ascii="Arial" w:hAnsi="Arial" w:cs="Arial"/>
          <w:color w:val="002060"/>
          <w:sz w:val="20"/>
          <w:szCs w:val="20"/>
        </w:rPr>
        <w:t>En momentos en los que el mundo enfrenta la pandemia del COVID-19, es prioridad inmediata abordar esta emergencia de salud pública; sin embargo nos obliga a reflexionar cómo nuestra salud depende, en gran medida, de la salud de los animales y de los ecosistemas, por lo que es fundamental plantear respuestas al mediano y largo plazo para contrarrestar las causas subyacentes de este género de pandemias, siendo la degradación y pérdida de los bosques uno de esos factores que contribuyen a perturbar el equilibrio de la naturaleza y a aumentar el riesgo y la exposición de las personas a las enfermedades zoonóticas</w:t>
      </w:r>
      <w:r w:rsidR="00211798">
        <w:rPr>
          <w:rStyle w:val="Refdenotaalpie"/>
          <w:rFonts w:cs="Arial"/>
          <w:color w:val="002060"/>
          <w:szCs w:val="20"/>
        </w:rPr>
        <w:footnoteReference w:id="15"/>
      </w:r>
    </w:p>
    <w:p w14:paraId="7BFF9D52" w14:textId="77777777" w:rsidR="002A6B9A" w:rsidRPr="002A6B9A" w:rsidRDefault="002A6B9A" w:rsidP="002A6B9A">
      <w:pPr>
        <w:pStyle w:val="NormalWeb"/>
        <w:shd w:val="clear" w:color="auto" w:fill="FFFFFF"/>
        <w:jc w:val="both"/>
        <w:rPr>
          <w:rFonts w:ascii="Arial" w:hAnsi="Arial" w:cs="Arial"/>
          <w:color w:val="002060"/>
          <w:sz w:val="20"/>
          <w:szCs w:val="20"/>
        </w:rPr>
      </w:pPr>
      <w:r w:rsidRPr="00803AA5">
        <w:rPr>
          <w:rFonts w:ascii="Arial" w:hAnsi="Arial" w:cs="Arial"/>
          <w:color w:val="002060"/>
          <w:sz w:val="20"/>
          <w:szCs w:val="20"/>
        </w:rPr>
        <w:t>El gran problema que sigue teniendo el cambio climático es que en muchos países todavía no se entiende que no es un problema de medio ambiente. Es un problema que atenta contra la posibilidad de alcanzar o mantener niveles de bienestar en la población</w:t>
      </w:r>
      <w:r>
        <w:rPr>
          <w:rFonts w:ascii="Arial" w:hAnsi="Arial" w:cs="Arial"/>
          <w:color w:val="002060"/>
          <w:sz w:val="20"/>
          <w:szCs w:val="20"/>
        </w:rPr>
        <w:t>.</w:t>
      </w:r>
      <w:r w:rsidRPr="00803AA5">
        <w:rPr>
          <w:rStyle w:val="Refdenotaalpie"/>
          <w:rFonts w:ascii="Arial" w:eastAsiaTheme="minorEastAsia" w:hAnsi="Arial" w:cs="Arial"/>
          <w:color w:val="002060"/>
          <w:sz w:val="20"/>
          <w:szCs w:val="20"/>
        </w:rPr>
        <w:t xml:space="preserve"> </w:t>
      </w:r>
      <w:r w:rsidRPr="00803AA5">
        <w:rPr>
          <w:rStyle w:val="Refdenotaalpie"/>
          <w:rFonts w:ascii="Arial" w:eastAsiaTheme="minorEastAsia" w:hAnsi="Arial" w:cs="Arial"/>
          <w:color w:val="002060"/>
          <w:sz w:val="20"/>
          <w:szCs w:val="20"/>
        </w:rPr>
        <w:footnoteReference w:id="16"/>
      </w:r>
      <w:r>
        <w:rPr>
          <w:rFonts w:ascii="Arial" w:eastAsiaTheme="minorEastAsia" w:hAnsi="Arial" w:cs="Arial"/>
          <w:color w:val="002060"/>
          <w:sz w:val="20"/>
          <w:szCs w:val="20"/>
        </w:rPr>
        <w:t xml:space="preserve">  </w:t>
      </w:r>
      <w:r w:rsidRPr="002A6B9A">
        <w:rPr>
          <w:rFonts w:ascii="Arial" w:eastAsiaTheme="minorEastAsia" w:hAnsi="Arial" w:cs="Arial"/>
          <w:color w:val="002060"/>
          <w:sz w:val="20"/>
          <w:szCs w:val="20"/>
        </w:rPr>
        <w:t>S</w:t>
      </w:r>
      <w:r w:rsidRPr="002A6B9A">
        <w:rPr>
          <w:rFonts w:ascii="Arial" w:hAnsi="Arial" w:cs="Arial"/>
          <w:color w:val="002060"/>
          <w:sz w:val="20"/>
          <w:szCs w:val="20"/>
        </w:rPr>
        <w:t>i somos conscientes de la lección que nos da el coronavirus respecto a la singularidad del planeta, sería absurdo que el mundo diga ‘me voy a enfocar solamente en la crisis de salud’ y se olvide de sus fuentes. Si las fuentes son naturaleza, si las fuentes son clima, entonces no estaríamos haciendo nada</w:t>
      </w:r>
      <w:r>
        <w:rPr>
          <w:rFonts w:ascii="Arial" w:hAnsi="Arial" w:cs="Arial"/>
          <w:color w:val="002060"/>
          <w:sz w:val="20"/>
          <w:szCs w:val="20"/>
        </w:rPr>
        <w:t>, s</w:t>
      </w:r>
      <w:r w:rsidRPr="002A6B9A">
        <w:rPr>
          <w:rFonts w:ascii="Arial" w:hAnsi="Arial" w:cs="Arial"/>
          <w:color w:val="002060"/>
          <w:sz w:val="20"/>
          <w:szCs w:val="20"/>
        </w:rPr>
        <w:t>implemente estaríamos postergando la siguiente pandemia para los próximos años</w:t>
      </w:r>
      <w:r>
        <w:rPr>
          <w:rStyle w:val="Refdenotaalpie"/>
          <w:rFonts w:cs="Arial"/>
          <w:color w:val="002060"/>
          <w:szCs w:val="20"/>
        </w:rPr>
        <w:footnoteReference w:id="17"/>
      </w:r>
    </w:p>
    <w:p w14:paraId="1843511F" w14:textId="77777777" w:rsidR="00B50826" w:rsidRPr="00211798" w:rsidRDefault="00006AE2">
      <w:pPr>
        <w:jc w:val="both"/>
        <w:rPr>
          <w:rFonts w:ascii="Arial" w:eastAsia="Arial" w:hAnsi="Arial" w:cs="Arial"/>
          <w:color w:val="002060"/>
          <w:sz w:val="20"/>
          <w:szCs w:val="20"/>
        </w:rPr>
      </w:pPr>
      <w:r w:rsidRPr="00211798">
        <w:rPr>
          <w:rFonts w:ascii="Arial" w:eastAsia="Arial" w:hAnsi="Arial" w:cs="Arial"/>
          <w:color w:val="002060"/>
          <w:sz w:val="20"/>
          <w:szCs w:val="20"/>
          <w:highlight w:val="white"/>
        </w:rPr>
        <w:t>La influencia humana en el sistema climático es clara, y las emisiones antropogénicas recientes de gases de efecto invernadero son las más altas de la historia. Los cambios climáticos recientes han tenido impactos generalizados en los sistemas humanos y naturales.</w:t>
      </w:r>
      <w:r w:rsidRPr="00211798">
        <w:rPr>
          <w:rFonts w:ascii="Arial" w:eastAsia="Calibri" w:hAnsi="Arial" w:cs="Arial"/>
          <w:color w:val="002060"/>
          <w:sz w:val="20"/>
          <w:szCs w:val="20"/>
          <w:highlight w:val="white"/>
          <w:vertAlign w:val="superscript"/>
        </w:rPr>
        <w:footnoteReference w:id="18"/>
      </w:r>
      <w:r w:rsidRPr="00211798">
        <w:rPr>
          <w:rFonts w:ascii="Arial" w:eastAsia="Arial" w:hAnsi="Arial" w:cs="Arial"/>
          <w:color w:val="002060"/>
          <w:sz w:val="20"/>
          <w:szCs w:val="20"/>
          <w:highlight w:val="white"/>
        </w:rPr>
        <w:t xml:space="preserve"> </w:t>
      </w:r>
      <w:r w:rsidRPr="00211798">
        <w:rPr>
          <w:rFonts w:ascii="Arial" w:eastAsia="Arial" w:hAnsi="Arial" w:cs="Arial"/>
          <w:color w:val="002060"/>
          <w:sz w:val="20"/>
          <w:szCs w:val="20"/>
        </w:rPr>
        <w:t>La salud de los ecosistemas de los que nosotros y todas las demás especies dependemos se está deteriorando a una velocidad nunca antes vista. Estamos erosionando los cimientos de las economías, los medios de vida, la seguridad alimentaria, la salud y la calidad de vida en todo el mundo</w:t>
      </w:r>
      <w:r w:rsidRPr="00211798">
        <w:rPr>
          <w:rFonts w:ascii="Arial" w:eastAsia="Calibri" w:hAnsi="Arial" w:cs="Arial"/>
          <w:color w:val="002060"/>
          <w:sz w:val="20"/>
          <w:szCs w:val="20"/>
          <w:vertAlign w:val="superscript"/>
        </w:rPr>
        <w:footnoteReference w:id="19"/>
      </w:r>
    </w:p>
    <w:p w14:paraId="698BCF53" w14:textId="77777777" w:rsidR="00B50826" w:rsidRPr="00211798" w:rsidRDefault="00B50826">
      <w:pPr>
        <w:jc w:val="both"/>
        <w:rPr>
          <w:rFonts w:ascii="Arial" w:eastAsia="Arial" w:hAnsi="Arial" w:cs="Arial"/>
          <w:color w:val="002060"/>
          <w:sz w:val="20"/>
          <w:szCs w:val="20"/>
          <w:highlight w:val="yellow"/>
        </w:rPr>
      </w:pPr>
    </w:p>
    <w:p w14:paraId="339DA4C8" w14:textId="77777777" w:rsidR="00B50826" w:rsidRPr="00211798" w:rsidRDefault="00006AE2">
      <w:pPr>
        <w:jc w:val="both"/>
        <w:rPr>
          <w:rFonts w:ascii="Arial" w:eastAsia="Arial" w:hAnsi="Arial" w:cs="Arial"/>
          <w:color w:val="002060"/>
          <w:sz w:val="20"/>
          <w:szCs w:val="20"/>
          <w:highlight w:val="white"/>
        </w:rPr>
      </w:pPr>
      <w:r w:rsidRPr="00211798">
        <w:rPr>
          <w:rFonts w:ascii="Arial" w:eastAsia="Arial" w:hAnsi="Arial" w:cs="Arial"/>
          <w:color w:val="002060"/>
          <w:sz w:val="20"/>
          <w:szCs w:val="20"/>
          <w:highlight w:val="white"/>
        </w:rPr>
        <w:t>El calentamiento en el sistema climático es inequívoco, y desde la década de 1950 muchos de los cambios observados no han tenido precedentes en los últimos decenios a milenios. La atmósfera y el océano se han calentado, los volúmenes de nieve y hielo han disminuido y el nivel del mar se ha elevado.</w:t>
      </w:r>
      <w:r w:rsidRPr="00211798">
        <w:rPr>
          <w:rFonts w:ascii="Arial" w:eastAsia="Calibri" w:hAnsi="Arial" w:cs="Arial"/>
          <w:color w:val="002060"/>
          <w:sz w:val="20"/>
          <w:szCs w:val="20"/>
          <w:highlight w:val="white"/>
          <w:vertAlign w:val="superscript"/>
        </w:rPr>
        <w:footnoteReference w:id="20"/>
      </w:r>
      <w:r w:rsidRPr="00211798">
        <w:rPr>
          <w:rFonts w:ascii="Arial" w:eastAsia="Arial" w:hAnsi="Arial" w:cs="Arial"/>
          <w:color w:val="002060"/>
          <w:sz w:val="20"/>
          <w:szCs w:val="20"/>
          <w:highlight w:val="white"/>
        </w:rPr>
        <w:t xml:space="preserve"> </w:t>
      </w:r>
    </w:p>
    <w:p w14:paraId="41C74946" w14:textId="77777777" w:rsidR="00B50826" w:rsidRPr="00211798" w:rsidRDefault="00B50826">
      <w:pPr>
        <w:jc w:val="both"/>
        <w:rPr>
          <w:rFonts w:ascii="Arial" w:eastAsia="Arial" w:hAnsi="Arial" w:cs="Arial"/>
          <w:color w:val="002060"/>
          <w:sz w:val="20"/>
          <w:szCs w:val="20"/>
          <w:highlight w:val="white"/>
        </w:rPr>
      </w:pPr>
    </w:p>
    <w:p w14:paraId="1552DA40" w14:textId="77777777" w:rsidR="00B50826" w:rsidRPr="00211798" w:rsidRDefault="00006AE2">
      <w:pPr>
        <w:jc w:val="both"/>
        <w:rPr>
          <w:rFonts w:ascii="Arial" w:eastAsia="Arial" w:hAnsi="Arial" w:cs="Arial"/>
          <w:color w:val="002060"/>
          <w:sz w:val="20"/>
          <w:szCs w:val="20"/>
          <w:highlight w:val="white"/>
        </w:rPr>
      </w:pPr>
      <w:r w:rsidRPr="00211798">
        <w:rPr>
          <w:rFonts w:ascii="Arial" w:eastAsia="Arial" w:hAnsi="Arial" w:cs="Arial"/>
          <w:color w:val="002060"/>
          <w:sz w:val="20"/>
          <w:szCs w:val="20"/>
          <w:highlight w:val="white"/>
        </w:rPr>
        <w:t>Los bosques proporcionan medios de subsistencia a más de mil millones de personas que viven en condiciones de pobreza extrema en todo el mundo y aportan empleo remunerado a más de cien millones. Son el hogar de más del 80 por ciento de la biodiversidad terrestre del planeta y ayudan a proteger cuencas hidrográficas fundamentales para suministrar agua limpia a gran parte de la humanidad. Sin embargo, el cambio climático plantea desafíos enormes para los bosques y para las personas</w:t>
      </w:r>
      <w:r w:rsidR="000719D5">
        <w:rPr>
          <w:rStyle w:val="Refdenotaalpie"/>
          <w:rFonts w:eastAsia="Arial" w:cs="Arial"/>
          <w:color w:val="002060"/>
          <w:szCs w:val="20"/>
          <w:highlight w:val="white"/>
        </w:rPr>
        <w:footnoteReference w:id="21"/>
      </w:r>
      <w:r w:rsidRPr="00211798">
        <w:rPr>
          <w:rFonts w:ascii="Arial" w:eastAsia="Arial" w:hAnsi="Arial" w:cs="Arial"/>
          <w:color w:val="002060"/>
          <w:sz w:val="20"/>
          <w:szCs w:val="20"/>
          <w:highlight w:val="white"/>
        </w:rPr>
        <w:t xml:space="preserve">. </w:t>
      </w:r>
    </w:p>
    <w:p w14:paraId="268B783B" w14:textId="77777777" w:rsidR="00B50826" w:rsidRPr="00211798" w:rsidRDefault="00B50826">
      <w:pPr>
        <w:jc w:val="both"/>
        <w:rPr>
          <w:rFonts w:ascii="Arial" w:eastAsia="Arial" w:hAnsi="Arial" w:cs="Arial"/>
          <w:color w:val="002060"/>
          <w:sz w:val="20"/>
          <w:szCs w:val="20"/>
          <w:highlight w:val="white"/>
        </w:rPr>
      </w:pPr>
    </w:p>
    <w:p w14:paraId="4F904500" w14:textId="77777777" w:rsidR="00B50826" w:rsidRPr="00211798" w:rsidRDefault="00006AE2">
      <w:pPr>
        <w:jc w:val="both"/>
        <w:rPr>
          <w:rFonts w:ascii="Arial" w:eastAsia="Arial" w:hAnsi="Arial" w:cs="Arial"/>
          <w:color w:val="002060"/>
          <w:sz w:val="20"/>
          <w:szCs w:val="20"/>
          <w:highlight w:val="white"/>
        </w:rPr>
      </w:pPr>
      <w:bookmarkStart w:id="2" w:name="_heading=h.44sinio" w:colFirst="0" w:colLast="0"/>
      <w:bookmarkEnd w:id="2"/>
      <w:r w:rsidRPr="00211798">
        <w:rPr>
          <w:rFonts w:ascii="Arial" w:eastAsia="Arial" w:hAnsi="Arial" w:cs="Arial"/>
          <w:color w:val="002060"/>
          <w:sz w:val="20"/>
          <w:szCs w:val="20"/>
          <w:highlight w:val="white"/>
        </w:rPr>
        <w:t>Dentro de los impactos en los ecosistemas forestales, se prevé un aumento de la mortalidad de los árboles y de los incendios forestales en la Amazonía, degradación del bosque pluvial y recesión en la Amazonia, más allá de las tendencias de base de la deforestación y degradación de las tierras (nivel de confianza bajo, contribución pequeña del cambio climático)</w:t>
      </w:r>
      <w:r w:rsidRPr="00211798">
        <w:rPr>
          <w:rFonts w:ascii="Arial" w:eastAsia="Calibri" w:hAnsi="Arial" w:cs="Arial"/>
          <w:color w:val="002060"/>
          <w:sz w:val="20"/>
          <w:szCs w:val="20"/>
          <w:highlight w:val="white"/>
          <w:vertAlign w:val="superscript"/>
        </w:rPr>
        <w:footnoteReference w:id="22"/>
      </w:r>
      <w:r w:rsidRPr="00211798">
        <w:rPr>
          <w:rFonts w:ascii="Arial" w:eastAsia="Arial" w:hAnsi="Arial" w:cs="Arial"/>
          <w:color w:val="002060"/>
          <w:sz w:val="20"/>
          <w:szCs w:val="20"/>
          <w:highlight w:val="white"/>
        </w:rPr>
        <w:t xml:space="preserve"> </w:t>
      </w:r>
    </w:p>
    <w:p w14:paraId="6CB3FB78" w14:textId="77777777" w:rsidR="00B50826" w:rsidRPr="00211798" w:rsidRDefault="00B50826">
      <w:pPr>
        <w:jc w:val="both"/>
        <w:rPr>
          <w:rFonts w:ascii="Arial" w:eastAsia="Arial" w:hAnsi="Arial" w:cs="Arial"/>
          <w:color w:val="002060"/>
          <w:sz w:val="20"/>
          <w:szCs w:val="20"/>
          <w:highlight w:val="white"/>
        </w:rPr>
      </w:pPr>
    </w:p>
    <w:p w14:paraId="4FC32F11" w14:textId="77777777" w:rsidR="00B50826" w:rsidRPr="00211798" w:rsidRDefault="00006AE2">
      <w:pPr>
        <w:jc w:val="both"/>
        <w:rPr>
          <w:rFonts w:ascii="Arial" w:eastAsia="Arial" w:hAnsi="Arial" w:cs="Arial"/>
          <w:color w:val="002060"/>
          <w:sz w:val="20"/>
          <w:szCs w:val="20"/>
          <w:highlight w:val="white"/>
        </w:rPr>
      </w:pPr>
      <w:r w:rsidRPr="00211798">
        <w:rPr>
          <w:rFonts w:ascii="Arial" w:eastAsia="Arial" w:hAnsi="Arial" w:cs="Arial"/>
          <w:color w:val="002060"/>
          <w:sz w:val="20"/>
          <w:szCs w:val="20"/>
          <w:highlight w:val="white"/>
        </w:rPr>
        <w:t>Las proyecciones indican que durante el siglo XXI en muchas regiones aumentará la mortalidad arbórea y el decaimiento forestal conexo (nivel de confianza medio), lo que plantea riesgos para el almacenamiento de carbono, la biodiversidad, la producción de madera, la calidad del agua, el valor estético y la actividad económica. Hay un riesgo alto de emisiones susta</w:t>
      </w:r>
      <w:r w:rsidRPr="00211798">
        <w:rPr>
          <w:rFonts w:ascii="Arial" w:eastAsia="Arial" w:hAnsi="Arial" w:cs="Arial"/>
          <w:color w:val="002060"/>
          <w:sz w:val="20"/>
          <w:szCs w:val="20"/>
        </w:rPr>
        <w:t xml:space="preserve">nciales de carbono y metano como </w:t>
      </w:r>
      <w:r w:rsidRPr="00211798">
        <w:rPr>
          <w:rFonts w:ascii="Arial" w:eastAsia="Arial" w:hAnsi="Arial" w:cs="Arial"/>
          <w:color w:val="002060"/>
          <w:sz w:val="20"/>
          <w:szCs w:val="20"/>
          <w:highlight w:val="white"/>
        </w:rPr>
        <w:t>consecuencia del deshielo del permafrost</w:t>
      </w:r>
      <w:r w:rsidRPr="00211798">
        <w:rPr>
          <w:rFonts w:ascii="Arial" w:eastAsia="Arial" w:hAnsi="Arial" w:cs="Arial"/>
          <w:color w:val="002060"/>
          <w:sz w:val="20"/>
          <w:szCs w:val="20"/>
          <w:highlight w:val="white"/>
          <w:vertAlign w:val="superscript"/>
        </w:rPr>
        <w:t>15</w:t>
      </w:r>
      <w:r w:rsidRPr="00211798">
        <w:rPr>
          <w:rFonts w:ascii="Arial" w:eastAsia="Arial" w:hAnsi="Arial" w:cs="Arial"/>
          <w:color w:val="002060"/>
          <w:sz w:val="20"/>
          <w:szCs w:val="20"/>
          <w:highlight w:val="white"/>
        </w:rPr>
        <w:t xml:space="preserve">. </w:t>
      </w:r>
    </w:p>
    <w:p w14:paraId="0DF17E6A" w14:textId="77777777" w:rsidR="00B50826" w:rsidRPr="00211798" w:rsidRDefault="00B50826">
      <w:pPr>
        <w:jc w:val="both"/>
        <w:rPr>
          <w:rFonts w:ascii="Arial" w:eastAsia="Arial" w:hAnsi="Arial" w:cs="Arial"/>
          <w:color w:val="002060"/>
          <w:sz w:val="20"/>
          <w:szCs w:val="20"/>
          <w:highlight w:val="white"/>
        </w:rPr>
      </w:pPr>
    </w:p>
    <w:p w14:paraId="048B56D1" w14:textId="77777777" w:rsidR="00B50826" w:rsidRDefault="00006AE2">
      <w:pPr>
        <w:pBdr>
          <w:top w:val="nil"/>
          <w:left w:val="nil"/>
          <w:bottom w:val="nil"/>
          <w:right w:val="nil"/>
          <w:between w:val="nil"/>
        </w:pBdr>
        <w:jc w:val="both"/>
        <w:rPr>
          <w:rFonts w:ascii="Arial" w:eastAsia="Arial" w:hAnsi="Arial" w:cs="Arial"/>
          <w:color w:val="002060"/>
          <w:sz w:val="20"/>
          <w:szCs w:val="20"/>
          <w:highlight w:val="white"/>
        </w:rPr>
      </w:pPr>
      <w:r w:rsidRPr="00211798">
        <w:rPr>
          <w:rFonts w:ascii="Arial" w:eastAsia="Arial" w:hAnsi="Arial" w:cs="Arial"/>
          <w:color w:val="002060"/>
          <w:sz w:val="20"/>
          <w:szCs w:val="20"/>
          <w:highlight w:val="white"/>
        </w:rPr>
        <w:t>Los bosques tropicales juegan un rol importante en el ciclo del carbono global porque contribuyen a regular la concentración de dióxido de carbono en la atmósfera y, por lo tanto, la tasa del cambio climático. Se estima que las emisiones de carbono debido a la deforestación tropical representan aproximadamente 20% de las emisiones totales generadas por las acciones humanas (IIAP, 2010). Los bosques en su estado natural, actúan como un regulador de enfermedades para humanos, lo cual genera un valor económico</w:t>
      </w:r>
      <w:r w:rsidRPr="00211798">
        <w:rPr>
          <w:rFonts w:ascii="Arial" w:eastAsia="Calibri" w:hAnsi="Arial" w:cs="Arial"/>
          <w:color w:val="002060"/>
          <w:sz w:val="20"/>
          <w:szCs w:val="20"/>
          <w:highlight w:val="white"/>
          <w:vertAlign w:val="superscript"/>
        </w:rPr>
        <w:footnoteReference w:id="23"/>
      </w:r>
      <w:r w:rsidRPr="00211798">
        <w:rPr>
          <w:rFonts w:ascii="Arial" w:eastAsia="Arial" w:hAnsi="Arial" w:cs="Arial"/>
          <w:color w:val="002060"/>
          <w:sz w:val="20"/>
          <w:szCs w:val="20"/>
          <w:highlight w:val="white"/>
        </w:rPr>
        <w:t>.</w:t>
      </w:r>
    </w:p>
    <w:p w14:paraId="708E4D24" w14:textId="77777777" w:rsidR="00803AA5" w:rsidRDefault="00803AA5">
      <w:pPr>
        <w:pBdr>
          <w:top w:val="nil"/>
          <w:left w:val="nil"/>
          <w:bottom w:val="nil"/>
          <w:right w:val="nil"/>
          <w:between w:val="nil"/>
        </w:pBdr>
        <w:jc w:val="both"/>
        <w:rPr>
          <w:rFonts w:ascii="Arial" w:eastAsia="Arial" w:hAnsi="Arial" w:cs="Arial"/>
          <w:color w:val="002060"/>
          <w:sz w:val="20"/>
          <w:szCs w:val="20"/>
          <w:highlight w:val="white"/>
        </w:rPr>
      </w:pPr>
    </w:p>
    <w:p w14:paraId="1E324748" w14:textId="77777777" w:rsidR="002A6B9A" w:rsidRPr="00211798" w:rsidRDefault="002A6B9A">
      <w:pPr>
        <w:pBdr>
          <w:top w:val="nil"/>
          <w:left w:val="nil"/>
          <w:bottom w:val="nil"/>
          <w:right w:val="nil"/>
          <w:between w:val="nil"/>
        </w:pBdr>
        <w:jc w:val="both"/>
        <w:rPr>
          <w:rFonts w:ascii="Arial" w:eastAsia="Arial" w:hAnsi="Arial" w:cs="Arial"/>
          <w:color w:val="002060"/>
          <w:sz w:val="20"/>
          <w:szCs w:val="20"/>
          <w:highlight w:val="white"/>
        </w:rPr>
      </w:pPr>
    </w:p>
    <w:p w14:paraId="09E54989"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t>Descripción del problema</w:t>
      </w:r>
      <w:r w:rsidR="00246B6C">
        <w:rPr>
          <w:rFonts w:ascii="Arial" w:eastAsia="Arial" w:hAnsi="Arial" w:cs="Arial"/>
          <w:b/>
          <w:color w:val="002060"/>
        </w:rPr>
        <w:t>.</w:t>
      </w:r>
      <w:r>
        <w:rPr>
          <w:rFonts w:ascii="Arial" w:eastAsia="Arial" w:hAnsi="Arial" w:cs="Arial"/>
          <w:b/>
          <w:color w:val="002060"/>
        </w:rPr>
        <w:t xml:space="preserve">  </w:t>
      </w:r>
    </w:p>
    <w:p w14:paraId="3C42BEF9" w14:textId="77777777" w:rsidR="00B50826" w:rsidRDefault="00B50826">
      <w:pPr>
        <w:pBdr>
          <w:top w:val="nil"/>
          <w:left w:val="nil"/>
          <w:bottom w:val="nil"/>
          <w:right w:val="nil"/>
          <w:between w:val="nil"/>
        </w:pBdr>
        <w:ind w:left="720"/>
        <w:rPr>
          <w:rFonts w:ascii="Arial" w:eastAsia="Arial" w:hAnsi="Arial" w:cs="Arial"/>
          <w:color w:val="002060"/>
          <w:sz w:val="18"/>
          <w:szCs w:val="18"/>
        </w:rPr>
      </w:pPr>
    </w:p>
    <w:p w14:paraId="67A524C1" w14:textId="77777777" w:rsidR="00B50826" w:rsidRDefault="00006AE2">
      <w:pPr>
        <w:numPr>
          <w:ilvl w:val="0"/>
          <w:numId w:val="18"/>
        </w:numPr>
        <w:pBdr>
          <w:top w:val="nil"/>
          <w:left w:val="nil"/>
          <w:bottom w:val="nil"/>
          <w:right w:val="nil"/>
          <w:between w:val="nil"/>
        </w:pBdr>
        <w:ind w:left="0" w:hanging="579"/>
        <w:jc w:val="both"/>
        <w:rPr>
          <w:rFonts w:ascii="Arial" w:eastAsia="Arial" w:hAnsi="Arial" w:cs="Arial"/>
          <w:b/>
          <w:color w:val="002060"/>
          <w:sz w:val="20"/>
          <w:szCs w:val="20"/>
        </w:rPr>
      </w:pPr>
      <w:r>
        <w:rPr>
          <w:rFonts w:ascii="Arial" w:eastAsia="Arial" w:hAnsi="Arial" w:cs="Arial"/>
          <w:b/>
          <w:color w:val="002060"/>
          <w:sz w:val="20"/>
          <w:szCs w:val="20"/>
        </w:rPr>
        <w:t>Diagnóstico sobre la deforestación sobre la Región Huánuco.</w:t>
      </w:r>
    </w:p>
    <w:p w14:paraId="457FF933" w14:textId="77777777" w:rsidR="00B50826" w:rsidRDefault="00B50826">
      <w:pPr>
        <w:pBdr>
          <w:top w:val="nil"/>
          <w:left w:val="nil"/>
          <w:bottom w:val="nil"/>
          <w:right w:val="nil"/>
          <w:between w:val="nil"/>
        </w:pBdr>
        <w:ind w:hanging="579"/>
        <w:jc w:val="both"/>
        <w:rPr>
          <w:rFonts w:ascii="Arial" w:eastAsia="Arial" w:hAnsi="Arial" w:cs="Arial"/>
          <w:b/>
          <w:color w:val="002060"/>
          <w:sz w:val="20"/>
          <w:szCs w:val="20"/>
        </w:rPr>
      </w:pPr>
    </w:p>
    <w:p w14:paraId="5987E162"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 Región Huánuco está ubicada en la parte andino amazónica central de Perú, comprende aproximadamente 37,266 km2 (2.87% respecto al total nacional) y cuenta con dos regiones naturales claramente diferenciadas: a) la sierra que abarca 22,012 km2, y b) la ceja selva y selva, con 14,837 km2 </w:t>
      </w:r>
      <w:r w:rsidR="004D43F0">
        <w:rPr>
          <w:rStyle w:val="Refdenotaalpie"/>
          <w:rFonts w:eastAsia="Arial" w:cs="Arial"/>
          <w:color w:val="002060"/>
          <w:szCs w:val="20"/>
        </w:rPr>
        <w:footnoteReference w:id="24"/>
      </w:r>
    </w:p>
    <w:p w14:paraId="4CDE4DDC" w14:textId="77777777" w:rsidR="00B50826" w:rsidRDefault="00B50826">
      <w:pPr>
        <w:jc w:val="both"/>
        <w:rPr>
          <w:rFonts w:ascii="Arial" w:eastAsia="Arial" w:hAnsi="Arial" w:cs="Arial"/>
          <w:color w:val="002060"/>
          <w:sz w:val="20"/>
          <w:szCs w:val="20"/>
        </w:rPr>
      </w:pPr>
    </w:p>
    <w:p w14:paraId="075DC1EC"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Los bosques desempeñan un rol fundamental en la regulación climática mundial, nacional, regional y local, regulan las lluvias, conservan la biodiversidad, proveen de alimentos a la población rural y todos los servicios ecosistémicos que nos brindan,</w:t>
      </w:r>
      <w:r w:rsidR="008735DD">
        <w:rPr>
          <w:rFonts w:ascii="Arial" w:eastAsia="Arial" w:hAnsi="Arial" w:cs="Arial"/>
          <w:color w:val="002060"/>
          <w:sz w:val="20"/>
          <w:szCs w:val="20"/>
        </w:rPr>
        <w:t xml:space="preserve"> también son barreras vivas y naturales para evitar enfermedades zoonóticas, </w:t>
      </w:r>
      <w:r>
        <w:rPr>
          <w:rFonts w:ascii="Arial" w:eastAsia="Arial" w:hAnsi="Arial" w:cs="Arial"/>
          <w:color w:val="002060"/>
          <w:sz w:val="20"/>
          <w:szCs w:val="20"/>
        </w:rPr>
        <w:t>es el hábitat natural de las comunidades nativas, cuya supervivencia dependen del bosque; los mismos que están amenazados por la creciente deforestación que genera la intervención del hombre.</w:t>
      </w:r>
    </w:p>
    <w:p w14:paraId="32E53BC6" w14:textId="77777777" w:rsidR="00B50826" w:rsidRDefault="00B50826">
      <w:pPr>
        <w:jc w:val="both"/>
        <w:rPr>
          <w:rFonts w:ascii="Arial" w:eastAsia="Arial" w:hAnsi="Arial" w:cs="Arial"/>
          <w:color w:val="002060"/>
          <w:sz w:val="20"/>
          <w:szCs w:val="20"/>
        </w:rPr>
      </w:pPr>
    </w:p>
    <w:p w14:paraId="1F32E7E2"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Esta región es una de las más afectadas por la deforestación, con más de 319 mil hectáreas en lo que va del periodo de 2001 al 2018, cifra que representa la quinta parte de toda el área boscosa que aún existe; cantidad que la ubica como la segunda región en bosque perdido a nivel nacional.</w:t>
      </w:r>
    </w:p>
    <w:p w14:paraId="7EF6917B" w14:textId="77777777" w:rsidR="002A6B9A" w:rsidRDefault="002A6B9A">
      <w:pPr>
        <w:jc w:val="both"/>
        <w:rPr>
          <w:rFonts w:ascii="Arial" w:eastAsia="Arial" w:hAnsi="Arial" w:cs="Arial"/>
          <w:color w:val="002060"/>
          <w:sz w:val="20"/>
          <w:szCs w:val="20"/>
        </w:rPr>
      </w:pPr>
    </w:p>
    <w:p w14:paraId="5438075B" w14:textId="77777777" w:rsidR="00B50826" w:rsidRDefault="00006AE2">
      <w:pPr>
        <w:ind w:firstLine="426"/>
        <w:jc w:val="center"/>
        <w:rPr>
          <w:rFonts w:ascii="Arial" w:eastAsia="Arial" w:hAnsi="Arial" w:cs="Arial"/>
          <w:b/>
          <w:i/>
          <w:color w:val="002060"/>
          <w:sz w:val="20"/>
          <w:szCs w:val="20"/>
        </w:rPr>
      </w:pPr>
      <w:r>
        <w:rPr>
          <w:rFonts w:ascii="Arial" w:eastAsia="Arial" w:hAnsi="Arial" w:cs="Arial"/>
          <w:b/>
          <w:i/>
          <w:color w:val="002060"/>
          <w:sz w:val="20"/>
          <w:szCs w:val="20"/>
        </w:rPr>
        <w:t>Mapa N° 01: Mapa de Bosque / No Bosque Región Huánuco 2000</w:t>
      </w:r>
    </w:p>
    <w:p w14:paraId="047F08A7" w14:textId="77777777" w:rsidR="00B50826" w:rsidRDefault="00B50826">
      <w:pPr>
        <w:ind w:firstLine="426"/>
        <w:jc w:val="center"/>
        <w:rPr>
          <w:rFonts w:ascii="Arial" w:eastAsia="Arial" w:hAnsi="Arial" w:cs="Arial"/>
          <w:b/>
          <w:i/>
          <w:color w:val="002060"/>
          <w:sz w:val="20"/>
          <w:szCs w:val="20"/>
        </w:rPr>
      </w:pPr>
    </w:p>
    <w:p w14:paraId="187B92F0" w14:textId="77777777" w:rsidR="00B50826" w:rsidRDefault="00006AE2">
      <w:pPr>
        <w:pBdr>
          <w:top w:val="nil"/>
          <w:left w:val="nil"/>
          <w:bottom w:val="nil"/>
          <w:right w:val="nil"/>
          <w:between w:val="nil"/>
        </w:pBdr>
        <w:ind w:left="1646" w:hanging="926"/>
        <w:rPr>
          <w:rFonts w:ascii="Arial" w:eastAsia="Arial" w:hAnsi="Arial" w:cs="Arial"/>
          <w:color w:val="002060"/>
        </w:rPr>
      </w:pPr>
      <w:r>
        <w:rPr>
          <w:noProof/>
        </w:rPr>
        <w:drawing>
          <wp:inline distT="0" distB="0" distL="0" distR="0" wp14:anchorId="2594A1F7" wp14:editId="52163FE5">
            <wp:extent cx="4462818" cy="2900149"/>
            <wp:effectExtent l="0" t="0" r="0" b="0"/>
            <wp:docPr id="2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4485159" cy="2914668"/>
                    </a:xfrm>
                    <a:prstGeom prst="rect">
                      <a:avLst/>
                    </a:prstGeom>
                    <a:ln/>
                  </pic:spPr>
                </pic:pic>
              </a:graphicData>
            </a:graphic>
          </wp:inline>
        </w:drawing>
      </w:r>
    </w:p>
    <w:p w14:paraId="57C0B15E" w14:textId="77777777" w:rsidR="00B50826" w:rsidRDefault="00B50826">
      <w:pPr>
        <w:jc w:val="both"/>
        <w:rPr>
          <w:rFonts w:ascii="Arial" w:eastAsia="Arial" w:hAnsi="Arial" w:cs="Arial"/>
          <w:color w:val="002060"/>
          <w:sz w:val="20"/>
          <w:szCs w:val="20"/>
        </w:rPr>
      </w:pPr>
    </w:p>
    <w:p w14:paraId="1661351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Este proceso de deforestación se está incrementando aceleradamente en los últimos años, como se puede observar en el siguiente cuadro.</w:t>
      </w:r>
    </w:p>
    <w:p w14:paraId="2A3FB52A" w14:textId="77777777" w:rsidR="00B50826" w:rsidRDefault="00B50826">
      <w:pPr>
        <w:jc w:val="center"/>
        <w:rPr>
          <w:rFonts w:ascii="Arial" w:eastAsia="Arial" w:hAnsi="Arial" w:cs="Arial"/>
          <w:b/>
          <w:i/>
          <w:color w:val="002060"/>
          <w:sz w:val="20"/>
          <w:szCs w:val="20"/>
        </w:rPr>
      </w:pPr>
    </w:p>
    <w:p w14:paraId="6915C9FF" w14:textId="77777777" w:rsidR="00B50826" w:rsidRDefault="00006AE2">
      <w:pPr>
        <w:jc w:val="center"/>
        <w:rPr>
          <w:rFonts w:ascii="Arial" w:eastAsia="Arial" w:hAnsi="Arial" w:cs="Arial"/>
          <w:b/>
          <w:i/>
          <w:color w:val="002060"/>
          <w:sz w:val="20"/>
          <w:szCs w:val="20"/>
        </w:rPr>
      </w:pPr>
      <w:r>
        <w:rPr>
          <w:rFonts w:ascii="Arial" w:eastAsia="Arial" w:hAnsi="Arial" w:cs="Arial"/>
          <w:b/>
          <w:i/>
          <w:color w:val="002060"/>
          <w:sz w:val="20"/>
          <w:szCs w:val="20"/>
        </w:rPr>
        <w:t>Cuadro N° 02: Proceso de Deforestación en la Región desde el año 2001 al 2018</w:t>
      </w:r>
    </w:p>
    <w:p w14:paraId="03F32F41" w14:textId="77777777" w:rsidR="00B50826" w:rsidRDefault="00B50826">
      <w:pPr>
        <w:jc w:val="center"/>
        <w:rPr>
          <w:rFonts w:ascii="Arial" w:eastAsia="Arial" w:hAnsi="Arial" w:cs="Arial"/>
          <w:b/>
          <w:i/>
          <w:color w:val="002060"/>
          <w:sz w:val="20"/>
          <w:szCs w:val="20"/>
        </w:rPr>
      </w:pPr>
    </w:p>
    <w:tbl>
      <w:tblPr>
        <w:tblStyle w:val="af4"/>
        <w:tblW w:w="0" w:type="auto"/>
        <w:tblInd w:w="0" w:type="dxa"/>
        <w:tblLook w:val="0400" w:firstRow="0" w:lastRow="0" w:firstColumn="0" w:lastColumn="0" w:noHBand="0" w:noVBand="1"/>
      </w:tblPr>
      <w:tblGrid>
        <w:gridCol w:w="479"/>
        <w:gridCol w:w="479"/>
        <w:gridCol w:w="479"/>
        <w:gridCol w:w="427"/>
        <w:gridCol w:w="478"/>
        <w:gridCol w:w="426"/>
        <w:gridCol w:w="478"/>
        <w:gridCol w:w="478"/>
        <w:gridCol w:w="478"/>
        <w:gridCol w:w="478"/>
        <w:gridCol w:w="478"/>
        <w:gridCol w:w="478"/>
        <w:gridCol w:w="478"/>
        <w:gridCol w:w="478"/>
        <w:gridCol w:w="478"/>
        <w:gridCol w:w="478"/>
        <w:gridCol w:w="478"/>
        <w:gridCol w:w="478"/>
      </w:tblGrid>
      <w:tr w:rsidR="00B50826" w14:paraId="7D2FC60C" w14:textId="77777777">
        <w:trPr>
          <w:trHeight w:val="288"/>
        </w:trPr>
        <w:tc>
          <w:tcPr>
            <w:tcW w:w="0" w:type="auto"/>
            <w:gridSpan w:val="18"/>
            <w:shd w:val="clear" w:color="auto" w:fill="70AD47"/>
            <w:vAlign w:val="center"/>
          </w:tcPr>
          <w:p w14:paraId="23688E82" w14:textId="77777777" w:rsidR="00B50826" w:rsidRDefault="00006AE2">
            <w:pPr>
              <w:jc w:val="center"/>
              <w:rPr>
                <w:rFonts w:ascii="Calibri" w:eastAsia="Calibri" w:hAnsi="Calibri" w:cs="Calibri"/>
                <w:color w:val="002060"/>
                <w:sz w:val="20"/>
                <w:szCs w:val="20"/>
              </w:rPr>
            </w:pPr>
            <w:r>
              <w:rPr>
                <w:rFonts w:ascii="Calibri" w:eastAsia="Calibri" w:hAnsi="Calibri" w:cs="Calibri"/>
                <w:color w:val="002060"/>
                <w:sz w:val="20"/>
                <w:szCs w:val="20"/>
              </w:rPr>
              <w:t>PÉRDIDA DE BOSQUE 2001 - 2018 (EN HA)</w:t>
            </w:r>
          </w:p>
        </w:tc>
      </w:tr>
      <w:tr w:rsidR="00B50826" w14:paraId="24C12FF1" w14:textId="77777777">
        <w:trPr>
          <w:trHeight w:val="288"/>
        </w:trPr>
        <w:tc>
          <w:tcPr>
            <w:tcW w:w="0" w:type="auto"/>
            <w:shd w:val="clear" w:color="auto" w:fill="auto"/>
            <w:vAlign w:val="center"/>
          </w:tcPr>
          <w:p w14:paraId="2CCDBCBC"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2001</w:t>
            </w:r>
          </w:p>
        </w:tc>
        <w:tc>
          <w:tcPr>
            <w:tcW w:w="0" w:type="auto"/>
            <w:shd w:val="clear" w:color="auto" w:fill="auto"/>
            <w:vAlign w:val="center"/>
          </w:tcPr>
          <w:p w14:paraId="6BCE543B"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2002</w:t>
            </w:r>
          </w:p>
        </w:tc>
        <w:tc>
          <w:tcPr>
            <w:tcW w:w="0" w:type="auto"/>
            <w:shd w:val="clear" w:color="auto" w:fill="auto"/>
            <w:vAlign w:val="center"/>
          </w:tcPr>
          <w:p w14:paraId="658256C3"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2003</w:t>
            </w:r>
          </w:p>
        </w:tc>
        <w:tc>
          <w:tcPr>
            <w:tcW w:w="0" w:type="auto"/>
            <w:shd w:val="clear" w:color="auto" w:fill="auto"/>
            <w:vAlign w:val="center"/>
          </w:tcPr>
          <w:p w14:paraId="54477671"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2004</w:t>
            </w:r>
          </w:p>
        </w:tc>
        <w:tc>
          <w:tcPr>
            <w:tcW w:w="0" w:type="auto"/>
            <w:shd w:val="clear" w:color="auto" w:fill="auto"/>
            <w:vAlign w:val="center"/>
          </w:tcPr>
          <w:p w14:paraId="5497B3B4"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2005</w:t>
            </w:r>
          </w:p>
        </w:tc>
        <w:tc>
          <w:tcPr>
            <w:tcW w:w="0" w:type="auto"/>
            <w:shd w:val="clear" w:color="auto" w:fill="auto"/>
            <w:vAlign w:val="center"/>
          </w:tcPr>
          <w:p w14:paraId="5AD5D462"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2006</w:t>
            </w:r>
          </w:p>
        </w:tc>
        <w:tc>
          <w:tcPr>
            <w:tcW w:w="0" w:type="auto"/>
            <w:shd w:val="clear" w:color="auto" w:fill="auto"/>
            <w:vAlign w:val="center"/>
          </w:tcPr>
          <w:p w14:paraId="5841A531"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2007</w:t>
            </w:r>
          </w:p>
        </w:tc>
        <w:tc>
          <w:tcPr>
            <w:tcW w:w="0" w:type="auto"/>
            <w:shd w:val="clear" w:color="auto" w:fill="auto"/>
            <w:vAlign w:val="center"/>
          </w:tcPr>
          <w:p w14:paraId="696B30B9"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2008</w:t>
            </w:r>
          </w:p>
        </w:tc>
        <w:tc>
          <w:tcPr>
            <w:tcW w:w="0" w:type="auto"/>
            <w:shd w:val="clear" w:color="auto" w:fill="auto"/>
            <w:vAlign w:val="center"/>
          </w:tcPr>
          <w:p w14:paraId="503926F0"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2009</w:t>
            </w:r>
          </w:p>
        </w:tc>
        <w:tc>
          <w:tcPr>
            <w:tcW w:w="0" w:type="auto"/>
            <w:shd w:val="clear" w:color="auto" w:fill="auto"/>
            <w:vAlign w:val="center"/>
          </w:tcPr>
          <w:p w14:paraId="3B979716"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2010</w:t>
            </w:r>
          </w:p>
        </w:tc>
        <w:tc>
          <w:tcPr>
            <w:tcW w:w="0" w:type="auto"/>
            <w:shd w:val="clear" w:color="auto" w:fill="auto"/>
            <w:vAlign w:val="center"/>
          </w:tcPr>
          <w:p w14:paraId="418BEEEC"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2011</w:t>
            </w:r>
          </w:p>
        </w:tc>
        <w:tc>
          <w:tcPr>
            <w:tcW w:w="0" w:type="auto"/>
            <w:shd w:val="clear" w:color="auto" w:fill="auto"/>
            <w:vAlign w:val="center"/>
          </w:tcPr>
          <w:p w14:paraId="3059BBF6"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2012</w:t>
            </w:r>
          </w:p>
        </w:tc>
        <w:tc>
          <w:tcPr>
            <w:tcW w:w="0" w:type="auto"/>
            <w:shd w:val="clear" w:color="auto" w:fill="auto"/>
            <w:vAlign w:val="center"/>
          </w:tcPr>
          <w:p w14:paraId="7D8C993D"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2013</w:t>
            </w:r>
          </w:p>
        </w:tc>
        <w:tc>
          <w:tcPr>
            <w:tcW w:w="0" w:type="auto"/>
            <w:shd w:val="clear" w:color="auto" w:fill="auto"/>
            <w:vAlign w:val="center"/>
          </w:tcPr>
          <w:p w14:paraId="15DFC74D"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2014</w:t>
            </w:r>
          </w:p>
        </w:tc>
        <w:tc>
          <w:tcPr>
            <w:tcW w:w="0" w:type="auto"/>
            <w:shd w:val="clear" w:color="auto" w:fill="auto"/>
            <w:vAlign w:val="center"/>
          </w:tcPr>
          <w:p w14:paraId="44ED9E7A"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2015</w:t>
            </w:r>
          </w:p>
        </w:tc>
        <w:tc>
          <w:tcPr>
            <w:tcW w:w="0" w:type="auto"/>
            <w:shd w:val="clear" w:color="auto" w:fill="auto"/>
            <w:vAlign w:val="center"/>
          </w:tcPr>
          <w:p w14:paraId="6AE58F6D"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2016</w:t>
            </w:r>
          </w:p>
        </w:tc>
        <w:tc>
          <w:tcPr>
            <w:tcW w:w="0" w:type="auto"/>
            <w:shd w:val="clear" w:color="auto" w:fill="auto"/>
            <w:vAlign w:val="center"/>
          </w:tcPr>
          <w:p w14:paraId="03BC3207"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2017</w:t>
            </w:r>
          </w:p>
        </w:tc>
        <w:tc>
          <w:tcPr>
            <w:tcW w:w="0" w:type="auto"/>
            <w:shd w:val="clear" w:color="auto" w:fill="auto"/>
            <w:vAlign w:val="center"/>
          </w:tcPr>
          <w:p w14:paraId="65D7D988" w14:textId="77777777" w:rsidR="00B50826" w:rsidRDefault="00006AE2">
            <w:pPr>
              <w:jc w:val="center"/>
              <w:rPr>
                <w:rFonts w:ascii="Calibri" w:eastAsia="Calibri" w:hAnsi="Calibri" w:cs="Calibri"/>
                <w:b/>
                <w:color w:val="002060"/>
                <w:sz w:val="12"/>
                <w:szCs w:val="12"/>
              </w:rPr>
            </w:pPr>
            <w:r>
              <w:rPr>
                <w:rFonts w:ascii="Calibri" w:eastAsia="Calibri" w:hAnsi="Calibri" w:cs="Calibri"/>
                <w:b/>
                <w:color w:val="002060"/>
                <w:sz w:val="12"/>
                <w:szCs w:val="12"/>
              </w:rPr>
              <w:t>2018</w:t>
            </w:r>
          </w:p>
        </w:tc>
      </w:tr>
      <w:tr w:rsidR="00B50826" w14:paraId="2A6A2173" w14:textId="77777777">
        <w:trPr>
          <w:trHeight w:val="288"/>
        </w:trPr>
        <w:tc>
          <w:tcPr>
            <w:tcW w:w="0" w:type="auto"/>
            <w:shd w:val="clear" w:color="auto" w:fill="auto"/>
            <w:vAlign w:val="center"/>
          </w:tcPr>
          <w:p w14:paraId="2258FBDB"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10874</w:t>
            </w:r>
          </w:p>
        </w:tc>
        <w:tc>
          <w:tcPr>
            <w:tcW w:w="0" w:type="auto"/>
            <w:shd w:val="clear" w:color="auto" w:fill="auto"/>
            <w:vAlign w:val="center"/>
          </w:tcPr>
          <w:p w14:paraId="4AC2C917"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10287</w:t>
            </w:r>
          </w:p>
        </w:tc>
        <w:tc>
          <w:tcPr>
            <w:tcW w:w="0" w:type="auto"/>
            <w:shd w:val="clear" w:color="auto" w:fill="auto"/>
            <w:vAlign w:val="center"/>
          </w:tcPr>
          <w:p w14:paraId="2DA94A9A"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14128</w:t>
            </w:r>
          </w:p>
        </w:tc>
        <w:tc>
          <w:tcPr>
            <w:tcW w:w="0" w:type="auto"/>
            <w:shd w:val="clear" w:color="auto" w:fill="auto"/>
            <w:vAlign w:val="center"/>
          </w:tcPr>
          <w:p w14:paraId="529FC837"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9110</w:t>
            </w:r>
          </w:p>
        </w:tc>
        <w:tc>
          <w:tcPr>
            <w:tcW w:w="0" w:type="auto"/>
            <w:shd w:val="clear" w:color="auto" w:fill="auto"/>
            <w:vAlign w:val="center"/>
          </w:tcPr>
          <w:p w14:paraId="56D0D0C1"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26406</w:t>
            </w:r>
          </w:p>
        </w:tc>
        <w:tc>
          <w:tcPr>
            <w:tcW w:w="0" w:type="auto"/>
            <w:shd w:val="clear" w:color="auto" w:fill="auto"/>
            <w:vAlign w:val="center"/>
          </w:tcPr>
          <w:p w14:paraId="23E54FBC"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8700</w:t>
            </w:r>
          </w:p>
        </w:tc>
        <w:tc>
          <w:tcPr>
            <w:tcW w:w="0" w:type="auto"/>
            <w:shd w:val="clear" w:color="auto" w:fill="auto"/>
            <w:vAlign w:val="center"/>
          </w:tcPr>
          <w:p w14:paraId="2F30AE0C"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11672</w:t>
            </w:r>
          </w:p>
        </w:tc>
        <w:tc>
          <w:tcPr>
            <w:tcW w:w="0" w:type="auto"/>
            <w:shd w:val="clear" w:color="auto" w:fill="auto"/>
            <w:vAlign w:val="center"/>
          </w:tcPr>
          <w:p w14:paraId="7991D886"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17128</w:t>
            </w:r>
          </w:p>
        </w:tc>
        <w:tc>
          <w:tcPr>
            <w:tcW w:w="0" w:type="auto"/>
            <w:shd w:val="clear" w:color="auto" w:fill="auto"/>
            <w:vAlign w:val="center"/>
          </w:tcPr>
          <w:p w14:paraId="6B2C8889"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24991</w:t>
            </w:r>
          </w:p>
        </w:tc>
        <w:tc>
          <w:tcPr>
            <w:tcW w:w="0" w:type="auto"/>
            <w:shd w:val="clear" w:color="auto" w:fill="auto"/>
            <w:vAlign w:val="center"/>
          </w:tcPr>
          <w:p w14:paraId="267ED35A"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17904</w:t>
            </w:r>
          </w:p>
        </w:tc>
        <w:tc>
          <w:tcPr>
            <w:tcW w:w="0" w:type="auto"/>
            <w:shd w:val="clear" w:color="auto" w:fill="auto"/>
            <w:vAlign w:val="center"/>
          </w:tcPr>
          <w:p w14:paraId="6A7EE69B"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19174</w:t>
            </w:r>
          </w:p>
        </w:tc>
        <w:tc>
          <w:tcPr>
            <w:tcW w:w="0" w:type="auto"/>
            <w:shd w:val="clear" w:color="auto" w:fill="auto"/>
            <w:vAlign w:val="center"/>
          </w:tcPr>
          <w:p w14:paraId="2161AA04"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23255</w:t>
            </w:r>
          </w:p>
        </w:tc>
        <w:tc>
          <w:tcPr>
            <w:tcW w:w="0" w:type="auto"/>
            <w:shd w:val="clear" w:color="auto" w:fill="auto"/>
            <w:vAlign w:val="center"/>
          </w:tcPr>
          <w:p w14:paraId="3AC42FE6"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20795</w:t>
            </w:r>
          </w:p>
        </w:tc>
        <w:tc>
          <w:tcPr>
            <w:tcW w:w="0" w:type="auto"/>
            <w:shd w:val="clear" w:color="auto" w:fill="auto"/>
            <w:vAlign w:val="center"/>
          </w:tcPr>
          <w:p w14:paraId="136E593C"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27596</w:t>
            </w:r>
          </w:p>
        </w:tc>
        <w:tc>
          <w:tcPr>
            <w:tcW w:w="0" w:type="auto"/>
            <w:shd w:val="clear" w:color="auto" w:fill="auto"/>
            <w:vAlign w:val="center"/>
          </w:tcPr>
          <w:p w14:paraId="0B61FBA3"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22912</w:t>
            </w:r>
          </w:p>
        </w:tc>
        <w:tc>
          <w:tcPr>
            <w:tcW w:w="0" w:type="auto"/>
            <w:shd w:val="clear" w:color="auto" w:fill="auto"/>
            <w:vAlign w:val="center"/>
          </w:tcPr>
          <w:p w14:paraId="48FF4F77"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18198</w:t>
            </w:r>
          </w:p>
        </w:tc>
        <w:tc>
          <w:tcPr>
            <w:tcW w:w="0" w:type="auto"/>
            <w:shd w:val="clear" w:color="auto" w:fill="auto"/>
            <w:vAlign w:val="center"/>
          </w:tcPr>
          <w:p w14:paraId="05986B5D"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19236</w:t>
            </w:r>
          </w:p>
        </w:tc>
        <w:tc>
          <w:tcPr>
            <w:tcW w:w="0" w:type="auto"/>
            <w:shd w:val="clear" w:color="auto" w:fill="auto"/>
            <w:vAlign w:val="center"/>
          </w:tcPr>
          <w:p w14:paraId="435B8E2D" w14:textId="77777777" w:rsidR="00B50826" w:rsidRDefault="00006AE2">
            <w:pPr>
              <w:jc w:val="center"/>
              <w:rPr>
                <w:rFonts w:ascii="Calibri" w:eastAsia="Calibri" w:hAnsi="Calibri" w:cs="Calibri"/>
                <w:color w:val="002060"/>
                <w:sz w:val="12"/>
                <w:szCs w:val="12"/>
              </w:rPr>
            </w:pPr>
            <w:r>
              <w:rPr>
                <w:rFonts w:ascii="Calibri" w:eastAsia="Calibri" w:hAnsi="Calibri" w:cs="Calibri"/>
                <w:color w:val="002060"/>
                <w:sz w:val="12"/>
                <w:szCs w:val="12"/>
              </w:rPr>
              <w:t>16560</w:t>
            </w:r>
          </w:p>
        </w:tc>
      </w:tr>
    </w:tbl>
    <w:p w14:paraId="44920F1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Fuente: Geo bosques - Minan.</w:t>
      </w:r>
    </w:p>
    <w:p w14:paraId="3259EF26" w14:textId="77777777" w:rsidR="00B50826" w:rsidRDefault="00B50826">
      <w:pPr>
        <w:jc w:val="both"/>
        <w:rPr>
          <w:rFonts w:ascii="Arial" w:eastAsia="Arial" w:hAnsi="Arial" w:cs="Arial"/>
          <w:color w:val="002060"/>
          <w:sz w:val="20"/>
          <w:szCs w:val="20"/>
        </w:rPr>
      </w:pPr>
      <w:bookmarkStart w:id="3" w:name="_heading=h.1fob9te" w:colFirst="0" w:colLast="0"/>
      <w:bookmarkEnd w:id="3"/>
    </w:p>
    <w:p w14:paraId="3F386011"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el cuadro precedente se puede observar que en el periodo 2001 al 2018 existe un proceso creciente de deforestación, siendo la provincia de Puerto Inca, en la que más se ha deforestado, tal como se pude observar en el siguiente gráfico.</w:t>
      </w:r>
    </w:p>
    <w:p w14:paraId="70CA4F2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  </w:t>
      </w:r>
    </w:p>
    <w:p w14:paraId="1C4B895A" w14:textId="77777777" w:rsidR="00B50826" w:rsidRDefault="00B50826">
      <w:pPr>
        <w:pBdr>
          <w:top w:val="nil"/>
          <w:left w:val="nil"/>
          <w:bottom w:val="nil"/>
          <w:right w:val="nil"/>
          <w:between w:val="nil"/>
        </w:pBdr>
        <w:jc w:val="both"/>
        <w:rPr>
          <w:rFonts w:ascii="Arial" w:eastAsia="Arial" w:hAnsi="Arial" w:cs="Arial"/>
          <w:color w:val="002060"/>
          <w:sz w:val="20"/>
          <w:szCs w:val="20"/>
        </w:rPr>
      </w:pPr>
    </w:p>
    <w:p w14:paraId="18E0F0AE"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noProof/>
        </w:rPr>
        <w:drawing>
          <wp:inline distT="0" distB="0" distL="0" distR="0" wp14:anchorId="3A9E12C0" wp14:editId="5D42326E">
            <wp:extent cx="5595620" cy="2305050"/>
            <wp:effectExtent l="0" t="0" r="0" b="0"/>
            <wp:docPr id="219" name="Gráfico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7DF26B" w14:textId="77777777" w:rsidR="00B50826" w:rsidRDefault="00B50826">
      <w:pPr>
        <w:pBdr>
          <w:top w:val="nil"/>
          <w:left w:val="nil"/>
          <w:bottom w:val="nil"/>
          <w:right w:val="nil"/>
          <w:between w:val="nil"/>
        </w:pBdr>
        <w:jc w:val="both"/>
        <w:rPr>
          <w:rFonts w:ascii="Arial" w:eastAsia="Arial" w:hAnsi="Arial" w:cs="Arial"/>
          <w:color w:val="002060"/>
          <w:sz w:val="20"/>
          <w:szCs w:val="20"/>
        </w:rPr>
      </w:pPr>
    </w:p>
    <w:p w14:paraId="62C9B6FB" w14:textId="77777777" w:rsidR="00247E4D" w:rsidRDefault="00247E4D">
      <w:pPr>
        <w:pBdr>
          <w:top w:val="nil"/>
          <w:left w:val="nil"/>
          <w:bottom w:val="nil"/>
          <w:right w:val="nil"/>
          <w:between w:val="nil"/>
        </w:pBdr>
        <w:jc w:val="both"/>
        <w:rPr>
          <w:rFonts w:ascii="Arial" w:eastAsia="Arial" w:hAnsi="Arial" w:cs="Arial"/>
          <w:color w:val="002060"/>
          <w:sz w:val="20"/>
          <w:szCs w:val="20"/>
        </w:rPr>
      </w:pPr>
    </w:p>
    <w:p w14:paraId="6F7D994A"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En el gráfico precedente se puede observar el proceso de deforestación en el periodo 2001 a l 2018, siendo en la provincia de Puerto Inca (74.76%) donde más se ha deforestado, seguida de la provincia de Leoncio Prado (11.37%); por lo que urge tomar medidas que eviten o reduzcan el proceso acelerado de la deforestación y/o del cambio de uso del suelo, principalmente en estas provincias. </w:t>
      </w:r>
    </w:p>
    <w:p w14:paraId="406EB17B"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719B906D"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Tanto a nivel nacional como en la región, los principales actores en la deforestación son pequeños productores, quienes de manera atomizada pero en gran cantidad deforestan el bosque; es así que, en la región el 31% del área deforestada corresponde a áreas menores a una hectárea, el 36.3% corresponde al rango de 1 a 5 ha., y el 31.41% corresponde al rango entre 5 a 50 ha.</w:t>
      </w:r>
      <w:r>
        <w:rPr>
          <w:rFonts w:ascii="Calibri" w:eastAsia="Calibri" w:hAnsi="Calibri" w:cs="Calibri"/>
          <w:color w:val="002060"/>
          <w:sz w:val="18"/>
          <w:szCs w:val="18"/>
          <w:vertAlign w:val="superscript"/>
        </w:rPr>
        <w:footnoteReference w:id="25"/>
      </w:r>
      <w:r>
        <w:rPr>
          <w:rFonts w:ascii="Arial" w:eastAsia="Arial" w:hAnsi="Arial" w:cs="Arial"/>
          <w:color w:val="002060"/>
          <w:sz w:val="20"/>
          <w:szCs w:val="20"/>
        </w:rPr>
        <w:t xml:space="preserve"> </w:t>
      </w:r>
    </w:p>
    <w:p w14:paraId="78009025"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48A6C0AB"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Existe una relación directa entre el proceso de deforestación y el incremento de las áreas de cultivos, como se puede observar en el siguiente gráfico.</w:t>
      </w:r>
    </w:p>
    <w:p w14:paraId="403A493F" w14:textId="77777777" w:rsidR="00B50826" w:rsidRDefault="00B50826">
      <w:pPr>
        <w:jc w:val="both"/>
        <w:rPr>
          <w:rFonts w:ascii="Arial" w:eastAsia="Arial" w:hAnsi="Arial" w:cs="Arial"/>
          <w:color w:val="002060"/>
          <w:sz w:val="20"/>
          <w:szCs w:val="20"/>
        </w:rPr>
      </w:pPr>
    </w:p>
    <w:p w14:paraId="1718C9A9" w14:textId="77777777" w:rsidR="00D029B1" w:rsidRDefault="00D029B1">
      <w:pPr>
        <w:jc w:val="both"/>
        <w:rPr>
          <w:rFonts w:ascii="Arial" w:eastAsia="Arial" w:hAnsi="Arial" w:cs="Arial"/>
          <w:color w:val="002060"/>
          <w:sz w:val="20"/>
          <w:szCs w:val="20"/>
        </w:rPr>
      </w:pPr>
    </w:p>
    <w:p w14:paraId="2CFD0EB8" w14:textId="77777777" w:rsidR="00B50826" w:rsidRDefault="00006AE2">
      <w:pPr>
        <w:pBdr>
          <w:top w:val="nil"/>
          <w:left w:val="nil"/>
          <w:bottom w:val="nil"/>
          <w:right w:val="nil"/>
          <w:between w:val="nil"/>
        </w:pBdr>
        <w:ind w:hanging="720"/>
        <w:jc w:val="center"/>
        <w:rPr>
          <w:rFonts w:ascii="Arial" w:eastAsia="Arial" w:hAnsi="Arial" w:cs="Arial"/>
          <w:b/>
          <w:i/>
          <w:color w:val="002060"/>
          <w:sz w:val="20"/>
          <w:szCs w:val="20"/>
        </w:rPr>
      </w:pPr>
      <w:r>
        <w:rPr>
          <w:rFonts w:ascii="Arial" w:eastAsia="Arial" w:hAnsi="Arial" w:cs="Arial"/>
          <w:b/>
          <w:i/>
          <w:color w:val="002060"/>
          <w:sz w:val="20"/>
          <w:szCs w:val="20"/>
        </w:rPr>
        <w:t>Gráfico N° 04.- Evolución de las áreas de los principales cultivos.</w:t>
      </w:r>
    </w:p>
    <w:p w14:paraId="032A76C6" w14:textId="77777777" w:rsidR="00B50826" w:rsidRDefault="00006AE2">
      <w:pPr>
        <w:pBdr>
          <w:top w:val="nil"/>
          <w:left w:val="nil"/>
          <w:bottom w:val="nil"/>
          <w:right w:val="nil"/>
          <w:between w:val="nil"/>
        </w:pBdr>
        <w:ind w:hanging="720"/>
        <w:jc w:val="center"/>
        <w:rPr>
          <w:color w:val="002060"/>
        </w:rPr>
      </w:pPr>
      <w:r>
        <w:rPr>
          <w:noProof/>
        </w:rPr>
        <w:lastRenderedPageBreak/>
        <w:drawing>
          <wp:inline distT="0" distB="0" distL="0" distR="0" wp14:anchorId="4F958844" wp14:editId="36997E88">
            <wp:extent cx="5339080" cy="2680970"/>
            <wp:effectExtent l="0" t="0" r="0" b="0"/>
            <wp:docPr id="220"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1B39D0" w14:textId="77777777" w:rsidR="00B50826" w:rsidRDefault="00B50826">
      <w:pPr>
        <w:jc w:val="both"/>
        <w:rPr>
          <w:rFonts w:ascii="Arial" w:eastAsia="Arial" w:hAnsi="Arial" w:cs="Arial"/>
          <w:color w:val="002060"/>
          <w:sz w:val="20"/>
          <w:szCs w:val="20"/>
        </w:rPr>
      </w:pPr>
    </w:p>
    <w:p w14:paraId="228596AA"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el gráfico precedente se puede apreciar que el café, cacao y plátano, son los cultivos cuyas áreas han crecido sosteniblemente, generando cambio de uso de los bosques, para la instalación de los mismos; en el caso de la palma aceitera su instalación se inició en el año 2012, cuyo crecimiento es sostenible y amenaza a los bosques existentes.  </w:t>
      </w:r>
    </w:p>
    <w:p w14:paraId="79F1C7C7" w14:textId="77777777" w:rsidR="00B50826" w:rsidRDefault="00B50826">
      <w:pPr>
        <w:jc w:val="both"/>
        <w:rPr>
          <w:rFonts w:ascii="Arial" w:eastAsia="Arial" w:hAnsi="Arial" w:cs="Arial"/>
          <w:color w:val="002060"/>
          <w:sz w:val="20"/>
          <w:szCs w:val="20"/>
        </w:rPr>
      </w:pPr>
    </w:p>
    <w:p w14:paraId="4B8A1D32"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 </w:t>
      </w:r>
      <w:proofErr w:type="spellStart"/>
      <w:r>
        <w:rPr>
          <w:rFonts w:ascii="Arial" w:eastAsia="Arial" w:hAnsi="Arial" w:cs="Arial"/>
          <w:color w:val="002060"/>
          <w:sz w:val="20"/>
          <w:szCs w:val="20"/>
        </w:rPr>
        <w:t>braquiaria</w:t>
      </w:r>
      <w:proofErr w:type="spellEnd"/>
      <w:r>
        <w:rPr>
          <w:rFonts w:ascii="Arial" w:eastAsia="Arial" w:hAnsi="Arial" w:cs="Arial"/>
          <w:color w:val="002060"/>
          <w:sz w:val="20"/>
          <w:szCs w:val="20"/>
        </w:rPr>
        <w:t xml:space="preserve"> es el principal pasto para la crianza de vacunos de carne, éste se concentra en la provincia de Puerto Inca, las áreas de este cultivo se vienen incrementando, como se aprecia en el siguiente cuadro:   </w:t>
      </w:r>
    </w:p>
    <w:p w14:paraId="0C8EE367" w14:textId="77777777" w:rsidR="00B50826" w:rsidRDefault="00B50826">
      <w:pPr>
        <w:jc w:val="both"/>
        <w:rPr>
          <w:rFonts w:ascii="Arial" w:eastAsia="Arial" w:hAnsi="Arial" w:cs="Arial"/>
          <w:color w:val="002060"/>
          <w:sz w:val="20"/>
          <w:szCs w:val="20"/>
        </w:rPr>
      </w:pPr>
    </w:p>
    <w:p w14:paraId="60B6B0E5" w14:textId="77777777" w:rsidR="00B50826" w:rsidRDefault="00006AE2">
      <w:pPr>
        <w:pBdr>
          <w:top w:val="nil"/>
          <w:left w:val="nil"/>
          <w:bottom w:val="nil"/>
          <w:right w:val="nil"/>
          <w:between w:val="nil"/>
        </w:pBdr>
        <w:ind w:left="1353" w:hanging="720"/>
        <w:rPr>
          <w:rFonts w:ascii="Arial" w:eastAsia="Arial" w:hAnsi="Arial" w:cs="Arial"/>
          <w:color w:val="002060"/>
          <w:sz w:val="22"/>
          <w:szCs w:val="22"/>
        </w:rPr>
      </w:pPr>
      <w:r>
        <w:rPr>
          <w:rFonts w:ascii="Arial" w:eastAsia="Arial" w:hAnsi="Arial" w:cs="Arial"/>
          <w:b/>
          <w:i/>
          <w:color w:val="002060"/>
          <w:sz w:val="22"/>
          <w:szCs w:val="22"/>
        </w:rPr>
        <w:t xml:space="preserve">Cuadro N° 03: Superficie de pasto </w:t>
      </w:r>
      <w:proofErr w:type="spellStart"/>
      <w:r>
        <w:rPr>
          <w:rFonts w:ascii="Arial" w:eastAsia="Arial" w:hAnsi="Arial" w:cs="Arial"/>
          <w:b/>
          <w:i/>
          <w:color w:val="002060"/>
          <w:sz w:val="22"/>
          <w:szCs w:val="22"/>
        </w:rPr>
        <w:t>Braquearía</w:t>
      </w:r>
      <w:proofErr w:type="spellEnd"/>
      <w:r>
        <w:rPr>
          <w:rFonts w:ascii="Arial" w:eastAsia="Arial" w:hAnsi="Arial" w:cs="Arial"/>
          <w:b/>
          <w:i/>
          <w:color w:val="002060"/>
          <w:sz w:val="22"/>
          <w:szCs w:val="22"/>
        </w:rPr>
        <w:t>, periodo 2013 - 2018</w:t>
      </w:r>
      <w:r>
        <w:rPr>
          <w:rFonts w:ascii="Arial" w:eastAsia="Arial" w:hAnsi="Arial" w:cs="Arial"/>
          <w:color w:val="002060"/>
          <w:sz w:val="22"/>
          <w:szCs w:val="22"/>
        </w:rPr>
        <w:t>.</w:t>
      </w:r>
    </w:p>
    <w:p w14:paraId="5BAD3029" w14:textId="77777777" w:rsidR="00B50826" w:rsidRDefault="00B50826">
      <w:pPr>
        <w:pBdr>
          <w:top w:val="nil"/>
          <w:left w:val="nil"/>
          <w:bottom w:val="nil"/>
          <w:right w:val="nil"/>
          <w:between w:val="nil"/>
        </w:pBdr>
        <w:ind w:hanging="720"/>
        <w:jc w:val="center"/>
        <w:rPr>
          <w:rFonts w:ascii="Arial" w:eastAsia="Arial" w:hAnsi="Arial" w:cs="Arial"/>
          <w:color w:val="002060"/>
        </w:rPr>
      </w:pPr>
    </w:p>
    <w:p w14:paraId="1E1D6F1C" w14:textId="77777777" w:rsidR="00B50826" w:rsidRDefault="00006AE2">
      <w:pPr>
        <w:pBdr>
          <w:top w:val="nil"/>
          <w:left w:val="nil"/>
          <w:bottom w:val="nil"/>
          <w:right w:val="nil"/>
          <w:between w:val="nil"/>
        </w:pBdr>
        <w:ind w:firstLine="142"/>
        <w:rPr>
          <w:rFonts w:ascii="Arial" w:eastAsia="Arial" w:hAnsi="Arial" w:cs="Arial"/>
          <w:color w:val="002060"/>
          <w:sz w:val="16"/>
          <w:szCs w:val="16"/>
        </w:rPr>
      </w:pPr>
      <w:r>
        <w:rPr>
          <w:noProof/>
        </w:rPr>
        <w:drawing>
          <wp:inline distT="0" distB="0" distL="0" distR="0" wp14:anchorId="3997FB7A" wp14:editId="16974985">
            <wp:extent cx="5412740" cy="488315"/>
            <wp:effectExtent l="0" t="0" r="0" b="0"/>
            <wp:docPr id="2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5412851" cy="488857"/>
                    </a:xfrm>
                    <a:prstGeom prst="rect">
                      <a:avLst/>
                    </a:prstGeom>
                    <a:ln/>
                  </pic:spPr>
                </pic:pic>
              </a:graphicData>
            </a:graphic>
          </wp:inline>
        </w:drawing>
      </w:r>
    </w:p>
    <w:p w14:paraId="6A3C5352" w14:textId="77777777" w:rsidR="00B50826" w:rsidRDefault="00006AE2">
      <w:pPr>
        <w:pBdr>
          <w:top w:val="nil"/>
          <w:left w:val="nil"/>
          <w:bottom w:val="nil"/>
          <w:right w:val="nil"/>
          <w:between w:val="nil"/>
        </w:pBdr>
        <w:spacing w:after="120"/>
        <w:ind w:firstLine="426"/>
        <w:rPr>
          <w:rFonts w:ascii="Arial" w:eastAsia="Arial" w:hAnsi="Arial" w:cs="Arial"/>
          <w:color w:val="002060"/>
          <w:sz w:val="16"/>
          <w:szCs w:val="16"/>
        </w:rPr>
      </w:pPr>
      <w:r>
        <w:rPr>
          <w:rFonts w:ascii="Arial" w:eastAsia="Arial" w:hAnsi="Arial" w:cs="Arial"/>
          <w:color w:val="002060"/>
          <w:sz w:val="16"/>
          <w:szCs w:val="16"/>
        </w:rPr>
        <w:t>Fuente: DRA Huánuco.</w:t>
      </w:r>
    </w:p>
    <w:p w14:paraId="27555BF0" w14:textId="77777777" w:rsidR="000D19A2" w:rsidRDefault="000D19A2">
      <w:pPr>
        <w:spacing w:before="60" w:after="120"/>
        <w:jc w:val="both"/>
        <w:rPr>
          <w:rFonts w:ascii="Arial" w:eastAsia="Arial" w:hAnsi="Arial" w:cs="Arial"/>
          <w:color w:val="002060"/>
          <w:sz w:val="20"/>
          <w:szCs w:val="20"/>
        </w:rPr>
      </w:pPr>
    </w:p>
    <w:p w14:paraId="10B4D64A" w14:textId="77777777" w:rsidR="00B50826" w:rsidRDefault="00006AE2">
      <w:pPr>
        <w:spacing w:before="60" w:after="120"/>
        <w:jc w:val="both"/>
        <w:rPr>
          <w:rFonts w:ascii="Arial" w:eastAsia="Arial" w:hAnsi="Arial" w:cs="Arial"/>
          <w:color w:val="002060"/>
          <w:sz w:val="20"/>
          <w:szCs w:val="20"/>
        </w:rPr>
      </w:pPr>
      <w:r>
        <w:rPr>
          <w:rFonts w:ascii="Arial" w:eastAsia="Arial" w:hAnsi="Arial" w:cs="Arial"/>
          <w:color w:val="002060"/>
          <w:sz w:val="20"/>
          <w:szCs w:val="20"/>
        </w:rPr>
        <w:t>En el periodo de 5 años se ha incrementado más de 25,000 hectáreas de pastos en la provincia de Puerto Inca, atribuyéndose como la principal causa de deforestación en esta provincia.</w:t>
      </w:r>
    </w:p>
    <w:p w14:paraId="048D8F08" w14:textId="77777777" w:rsidR="00B50826" w:rsidRDefault="00B50826">
      <w:pPr>
        <w:spacing w:before="60" w:after="120"/>
        <w:jc w:val="both"/>
        <w:rPr>
          <w:rFonts w:ascii="Arial" w:eastAsia="Arial" w:hAnsi="Arial" w:cs="Arial"/>
          <w:color w:val="002060"/>
          <w:sz w:val="20"/>
          <w:szCs w:val="20"/>
        </w:rPr>
      </w:pPr>
    </w:p>
    <w:p w14:paraId="45B4D795" w14:textId="77777777" w:rsidR="00B50826" w:rsidRDefault="00006AE2">
      <w:pPr>
        <w:spacing w:before="60" w:after="120"/>
        <w:jc w:val="both"/>
        <w:rPr>
          <w:rFonts w:ascii="Arial" w:eastAsia="Arial" w:hAnsi="Arial" w:cs="Arial"/>
          <w:color w:val="002060"/>
          <w:sz w:val="20"/>
          <w:szCs w:val="20"/>
        </w:rPr>
      </w:pPr>
      <w:r>
        <w:rPr>
          <w:rFonts w:ascii="Arial" w:eastAsia="Arial" w:hAnsi="Arial" w:cs="Arial"/>
          <w:b/>
          <w:color w:val="002060"/>
          <w:sz w:val="20"/>
          <w:szCs w:val="20"/>
          <w:highlight w:val="yellow"/>
        </w:rPr>
        <w:t xml:space="preserve">Cuellos de botella de las principales actividades económicas en la </w:t>
      </w:r>
      <w:proofErr w:type="spellStart"/>
      <w:r>
        <w:rPr>
          <w:rFonts w:ascii="Arial" w:eastAsia="Arial" w:hAnsi="Arial" w:cs="Arial"/>
          <w:b/>
          <w:color w:val="002060"/>
          <w:sz w:val="20"/>
          <w:szCs w:val="20"/>
          <w:highlight w:val="yellow"/>
        </w:rPr>
        <w:t>amazonía</w:t>
      </w:r>
      <w:proofErr w:type="spellEnd"/>
      <w:r>
        <w:rPr>
          <w:rFonts w:ascii="Arial" w:eastAsia="Arial" w:hAnsi="Arial" w:cs="Arial"/>
          <w:b/>
          <w:color w:val="002060"/>
          <w:sz w:val="20"/>
          <w:szCs w:val="20"/>
          <w:highlight w:val="yellow"/>
        </w:rPr>
        <w:t xml:space="preserve"> de la región</w:t>
      </w:r>
      <w:r>
        <w:rPr>
          <w:rFonts w:ascii="Arial" w:eastAsia="Arial" w:hAnsi="Arial" w:cs="Arial"/>
          <w:color w:val="002060"/>
          <w:sz w:val="20"/>
          <w:szCs w:val="20"/>
        </w:rPr>
        <w:t>.</w:t>
      </w:r>
    </w:p>
    <w:p w14:paraId="45BF5961"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El estudio de Análisis de Cuellos de botella – ACB, de los principales productos de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(Pastos/ganadería, café, cacao, plátano y maíz amarillo duro), así como aquellos que tienen gran potencial (forestal, acuicultura y turismo), se han evalua</w:t>
      </w:r>
      <w:r w:rsidR="006E679A">
        <w:rPr>
          <w:rFonts w:ascii="Arial" w:eastAsia="Arial" w:hAnsi="Arial" w:cs="Arial"/>
          <w:color w:val="002060"/>
          <w:sz w:val="20"/>
          <w:szCs w:val="20"/>
        </w:rPr>
        <w:t xml:space="preserve">do </w:t>
      </w:r>
      <w:r>
        <w:rPr>
          <w:rFonts w:ascii="Arial" w:eastAsia="Arial" w:hAnsi="Arial" w:cs="Arial"/>
          <w:color w:val="002060"/>
          <w:sz w:val="20"/>
          <w:szCs w:val="20"/>
        </w:rPr>
        <w:t>en tres dimensiones: Productividad, competitividad y sustentabilidad; entre los resultados más relevantes, tenemos:</w:t>
      </w:r>
    </w:p>
    <w:p w14:paraId="58D4A771" w14:textId="77777777" w:rsidR="00B50826" w:rsidRDefault="00B50826">
      <w:pPr>
        <w:ind w:hanging="709"/>
        <w:jc w:val="both"/>
        <w:rPr>
          <w:rFonts w:ascii="Arial" w:eastAsia="Arial" w:hAnsi="Arial" w:cs="Arial"/>
          <w:b/>
          <w:color w:val="002060"/>
          <w:sz w:val="20"/>
          <w:szCs w:val="20"/>
        </w:rPr>
      </w:pPr>
    </w:p>
    <w:p w14:paraId="712885A5" w14:textId="77777777" w:rsidR="00B50826" w:rsidRDefault="00006AE2">
      <w:pPr>
        <w:jc w:val="both"/>
        <w:rPr>
          <w:rFonts w:ascii="Arial" w:eastAsia="Arial" w:hAnsi="Arial" w:cs="Arial"/>
          <w:color w:val="002060"/>
          <w:sz w:val="20"/>
          <w:szCs w:val="20"/>
        </w:rPr>
      </w:pPr>
      <w:r>
        <w:rPr>
          <w:rFonts w:ascii="Arial" w:eastAsia="Arial" w:hAnsi="Arial" w:cs="Arial"/>
          <w:b/>
          <w:color w:val="002060"/>
          <w:sz w:val="20"/>
          <w:szCs w:val="20"/>
        </w:rPr>
        <w:t>Puntos críticos relacionados a la productividad</w:t>
      </w:r>
    </w:p>
    <w:p w14:paraId="3A9C04DA" w14:textId="77777777" w:rsidR="00B50826" w:rsidRDefault="006E679A">
      <w:pPr>
        <w:numPr>
          <w:ilvl w:val="0"/>
          <w:numId w:val="17"/>
        </w:numPr>
        <w:rPr>
          <w:rFonts w:ascii="Arial" w:eastAsia="Arial" w:hAnsi="Arial" w:cs="Arial"/>
          <w:color w:val="002060"/>
          <w:sz w:val="20"/>
          <w:szCs w:val="20"/>
        </w:rPr>
      </w:pPr>
      <w:r>
        <w:rPr>
          <w:rFonts w:ascii="Arial" w:eastAsia="Arial" w:hAnsi="Arial" w:cs="Arial"/>
          <w:color w:val="002060"/>
          <w:sz w:val="20"/>
          <w:szCs w:val="20"/>
        </w:rPr>
        <w:t>B</w:t>
      </w:r>
      <w:r w:rsidR="00006AE2">
        <w:rPr>
          <w:rFonts w:ascii="Arial" w:eastAsia="Arial" w:hAnsi="Arial" w:cs="Arial"/>
          <w:color w:val="002060"/>
          <w:sz w:val="20"/>
          <w:szCs w:val="20"/>
        </w:rPr>
        <w:t xml:space="preserve">ajo nivel tecnológico en el manejo de los cultivos. </w:t>
      </w:r>
    </w:p>
    <w:p w14:paraId="0E72E70E"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Débil o inexistente asistencia técnica y capacitación a los productores.</w:t>
      </w:r>
    </w:p>
    <w:p w14:paraId="6916BEFA"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Baja productividad y altos costos; calidad heterogénea.</w:t>
      </w:r>
    </w:p>
    <w:p w14:paraId="28A9742F"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Producción individual familiar y de sobrevivencia</w:t>
      </w:r>
    </w:p>
    <w:p w14:paraId="07DAF01E"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Bajos niveles de instrucción educativa de la población rural.</w:t>
      </w:r>
    </w:p>
    <w:p w14:paraId="753A557C"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 xml:space="preserve">Escasos niveles de inversión, las capacidades de reinversión son </w:t>
      </w:r>
      <w:proofErr w:type="gramStart"/>
      <w:r>
        <w:rPr>
          <w:rFonts w:ascii="Arial" w:eastAsia="Arial" w:hAnsi="Arial" w:cs="Arial"/>
          <w:color w:val="002060"/>
          <w:sz w:val="20"/>
          <w:szCs w:val="20"/>
        </w:rPr>
        <w:t>mínimas,  limitaciones</w:t>
      </w:r>
      <w:proofErr w:type="gramEnd"/>
      <w:r>
        <w:rPr>
          <w:rFonts w:ascii="Arial" w:eastAsia="Arial" w:hAnsi="Arial" w:cs="Arial"/>
          <w:color w:val="002060"/>
          <w:sz w:val="20"/>
          <w:szCs w:val="20"/>
        </w:rPr>
        <w:t xml:space="preserve"> para créditos accesibles (</w:t>
      </w:r>
      <w:r w:rsidR="006E679A">
        <w:rPr>
          <w:rFonts w:ascii="Arial" w:eastAsia="Arial" w:hAnsi="Arial" w:cs="Arial"/>
          <w:color w:val="002060"/>
          <w:sz w:val="20"/>
          <w:szCs w:val="20"/>
        </w:rPr>
        <w:t xml:space="preserve">altos </w:t>
      </w:r>
      <w:r>
        <w:rPr>
          <w:rFonts w:ascii="Arial" w:eastAsia="Arial" w:hAnsi="Arial" w:cs="Arial"/>
          <w:color w:val="002060"/>
          <w:sz w:val="20"/>
          <w:szCs w:val="20"/>
        </w:rPr>
        <w:t>costo</w:t>
      </w:r>
      <w:r w:rsidR="006E679A">
        <w:rPr>
          <w:rFonts w:ascii="Arial" w:eastAsia="Arial" w:hAnsi="Arial" w:cs="Arial"/>
          <w:color w:val="002060"/>
          <w:sz w:val="20"/>
          <w:szCs w:val="20"/>
        </w:rPr>
        <w:t>s</w:t>
      </w:r>
      <w:r>
        <w:rPr>
          <w:rFonts w:ascii="Arial" w:eastAsia="Arial" w:hAnsi="Arial" w:cs="Arial"/>
          <w:color w:val="002060"/>
          <w:sz w:val="20"/>
          <w:szCs w:val="20"/>
        </w:rPr>
        <w:t>).</w:t>
      </w:r>
    </w:p>
    <w:p w14:paraId="59EE64CA"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 xml:space="preserve">Inexistencia y/o baja aplicación de paquetes tecnológicos adaptados y validados en su contexto. </w:t>
      </w:r>
    </w:p>
    <w:p w14:paraId="299D8535"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 xml:space="preserve">Limitaciones de acceso a los mercados, los productores organizados tienen aún limitaciones </w:t>
      </w:r>
      <w:r w:rsidR="00104768">
        <w:rPr>
          <w:rFonts w:ascii="Arial" w:eastAsia="Arial" w:hAnsi="Arial" w:cs="Arial"/>
          <w:color w:val="002060"/>
          <w:sz w:val="20"/>
          <w:szCs w:val="20"/>
        </w:rPr>
        <w:t xml:space="preserve">para producir la </w:t>
      </w:r>
      <w:r>
        <w:rPr>
          <w:rFonts w:ascii="Arial" w:eastAsia="Arial" w:hAnsi="Arial" w:cs="Arial"/>
          <w:color w:val="002060"/>
          <w:sz w:val="20"/>
          <w:szCs w:val="20"/>
        </w:rPr>
        <w:t xml:space="preserve">calidad y certificaciones que exigen ciertos mercados </w:t>
      </w:r>
      <w:r w:rsidR="00104768">
        <w:rPr>
          <w:rFonts w:ascii="Arial" w:eastAsia="Arial" w:hAnsi="Arial" w:cs="Arial"/>
          <w:color w:val="002060"/>
          <w:sz w:val="20"/>
          <w:szCs w:val="20"/>
        </w:rPr>
        <w:t>de exportación</w:t>
      </w:r>
      <w:r>
        <w:rPr>
          <w:rFonts w:ascii="Arial" w:eastAsia="Arial" w:hAnsi="Arial" w:cs="Arial"/>
          <w:color w:val="002060"/>
          <w:sz w:val="20"/>
          <w:szCs w:val="20"/>
        </w:rPr>
        <w:t>.</w:t>
      </w:r>
    </w:p>
    <w:p w14:paraId="1B0C0458" w14:textId="77777777" w:rsidR="00B50826" w:rsidRDefault="00B50826" w:rsidP="00104768">
      <w:pPr>
        <w:ind w:left="360"/>
        <w:rPr>
          <w:rFonts w:ascii="Arial" w:eastAsia="Arial" w:hAnsi="Arial" w:cs="Arial"/>
          <w:color w:val="002060"/>
          <w:sz w:val="20"/>
          <w:szCs w:val="20"/>
        </w:rPr>
      </w:pPr>
    </w:p>
    <w:p w14:paraId="370F5F63" w14:textId="77777777" w:rsidR="00B50826" w:rsidRDefault="00006AE2">
      <w:pPr>
        <w:jc w:val="both"/>
        <w:rPr>
          <w:rFonts w:ascii="Arial" w:eastAsia="Arial" w:hAnsi="Arial" w:cs="Arial"/>
          <w:color w:val="002060"/>
          <w:sz w:val="20"/>
          <w:szCs w:val="20"/>
        </w:rPr>
      </w:pPr>
      <w:r>
        <w:rPr>
          <w:rFonts w:ascii="Arial" w:eastAsia="Arial" w:hAnsi="Arial" w:cs="Arial"/>
          <w:b/>
          <w:color w:val="002060"/>
          <w:sz w:val="20"/>
          <w:szCs w:val="20"/>
        </w:rPr>
        <w:t>Puntos críticos relacionados a la competitividad</w:t>
      </w:r>
      <w:r>
        <w:rPr>
          <w:rFonts w:ascii="Arial" w:eastAsia="Arial" w:hAnsi="Arial" w:cs="Arial"/>
          <w:color w:val="002060"/>
          <w:sz w:val="20"/>
          <w:szCs w:val="20"/>
        </w:rPr>
        <w:t>.</w:t>
      </w:r>
    </w:p>
    <w:p w14:paraId="63CB3460"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 xml:space="preserve">Débil capacidad del gobierno regional e instituciones </w:t>
      </w:r>
      <w:proofErr w:type="gramStart"/>
      <w:r>
        <w:rPr>
          <w:rFonts w:ascii="Arial" w:eastAsia="Arial" w:hAnsi="Arial" w:cs="Arial"/>
          <w:color w:val="002060"/>
          <w:sz w:val="20"/>
          <w:szCs w:val="20"/>
        </w:rPr>
        <w:t>públicas  para</w:t>
      </w:r>
      <w:proofErr w:type="gramEnd"/>
      <w:r>
        <w:rPr>
          <w:rFonts w:ascii="Arial" w:eastAsia="Arial" w:hAnsi="Arial" w:cs="Arial"/>
          <w:color w:val="002060"/>
          <w:sz w:val="20"/>
          <w:szCs w:val="20"/>
        </w:rPr>
        <w:t xml:space="preserve"> promover el desarrollo integral y articulado. </w:t>
      </w:r>
    </w:p>
    <w:p w14:paraId="05A537CC"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Débil gestión territorial: seguridad jurídica y el control de derechos y títulos habilitantes.</w:t>
      </w:r>
    </w:p>
    <w:p w14:paraId="2E5A3652"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Productores desorganizados u organizaciones débiles, con escasas capacidades de gestión empresarial.</w:t>
      </w:r>
    </w:p>
    <w:p w14:paraId="55E2BDE1" w14:textId="77777777" w:rsidR="00B50826" w:rsidRDefault="00006AE2" w:rsidP="00104768">
      <w:pPr>
        <w:numPr>
          <w:ilvl w:val="0"/>
          <w:numId w:val="17"/>
        </w:numPr>
        <w:jc w:val="both"/>
        <w:rPr>
          <w:rFonts w:ascii="Arial" w:eastAsia="Arial" w:hAnsi="Arial" w:cs="Arial"/>
          <w:color w:val="002060"/>
          <w:sz w:val="20"/>
          <w:szCs w:val="20"/>
        </w:rPr>
      </w:pPr>
      <w:r>
        <w:rPr>
          <w:rFonts w:ascii="Arial" w:eastAsia="Arial" w:hAnsi="Arial" w:cs="Arial"/>
          <w:color w:val="002060"/>
          <w:sz w:val="20"/>
          <w:szCs w:val="20"/>
        </w:rPr>
        <w:t xml:space="preserve">Limitada </w:t>
      </w:r>
      <w:proofErr w:type="spellStart"/>
      <w:proofErr w:type="gramStart"/>
      <w:r>
        <w:rPr>
          <w:rFonts w:ascii="Arial" w:eastAsia="Arial" w:hAnsi="Arial" w:cs="Arial"/>
          <w:color w:val="002060"/>
          <w:sz w:val="20"/>
          <w:szCs w:val="20"/>
        </w:rPr>
        <w:t>conectiv</w:t>
      </w:r>
      <w:proofErr w:type="spellEnd"/>
      <w:r w:rsidR="007C2E5E">
        <w:rPr>
          <w:rFonts w:ascii="Arial" w:eastAsia="Arial" w:hAnsi="Arial" w:cs="Arial"/>
          <w:color w:val="002060"/>
          <w:sz w:val="20"/>
          <w:szCs w:val="20"/>
        </w:rPr>
        <w:t xml:space="preserve">  </w:t>
      </w:r>
      <w:proofErr w:type="spellStart"/>
      <w:r>
        <w:rPr>
          <w:rFonts w:ascii="Arial" w:eastAsia="Arial" w:hAnsi="Arial" w:cs="Arial"/>
          <w:color w:val="002060"/>
          <w:sz w:val="20"/>
          <w:szCs w:val="20"/>
        </w:rPr>
        <w:t>idad</w:t>
      </w:r>
      <w:proofErr w:type="spellEnd"/>
      <w:proofErr w:type="gramEnd"/>
      <w:r>
        <w:rPr>
          <w:rFonts w:ascii="Arial" w:eastAsia="Arial" w:hAnsi="Arial" w:cs="Arial"/>
          <w:color w:val="002060"/>
          <w:sz w:val="20"/>
          <w:szCs w:val="20"/>
        </w:rPr>
        <w:t xml:space="preserve">, los centros de producción están aislados a los factores de la demanda (principalmente en la cuenca del Pachitea); comunicación limitada. </w:t>
      </w:r>
    </w:p>
    <w:p w14:paraId="769B55A0"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Escasa o ausencia de innovación tecnológica.</w:t>
      </w:r>
    </w:p>
    <w:p w14:paraId="4030C2C0"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Limitada o nula diversificación de productos agropecuarios.</w:t>
      </w:r>
    </w:p>
    <w:p w14:paraId="29AC21AF"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Escaso o nulo valor agregado a la producción</w:t>
      </w:r>
    </w:p>
    <w:p w14:paraId="4B94F98F"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Créditos escasos o con altos intereses.</w:t>
      </w:r>
    </w:p>
    <w:p w14:paraId="2D36CBA0"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Desaprovechamiento de nichos de mercados, para productos diferenciados</w:t>
      </w:r>
    </w:p>
    <w:p w14:paraId="2A2E8973"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Jóvenes con escasas posibilidades de desarrollo.</w:t>
      </w:r>
    </w:p>
    <w:p w14:paraId="565BCFD3" w14:textId="77777777" w:rsidR="00B50826" w:rsidRDefault="00B50826" w:rsidP="00104768">
      <w:pPr>
        <w:ind w:left="360"/>
        <w:rPr>
          <w:rFonts w:ascii="Arial" w:eastAsia="Arial" w:hAnsi="Arial" w:cs="Arial"/>
          <w:color w:val="002060"/>
          <w:sz w:val="20"/>
          <w:szCs w:val="20"/>
        </w:rPr>
      </w:pPr>
    </w:p>
    <w:p w14:paraId="1B40C3B2" w14:textId="77777777" w:rsidR="00B50826" w:rsidRDefault="00B50826">
      <w:pPr>
        <w:ind w:left="360"/>
        <w:rPr>
          <w:rFonts w:ascii="Arial" w:eastAsia="Arial" w:hAnsi="Arial" w:cs="Arial"/>
          <w:color w:val="002060"/>
          <w:sz w:val="20"/>
          <w:szCs w:val="20"/>
        </w:rPr>
      </w:pPr>
    </w:p>
    <w:p w14:paraId="1EA048AD" w14:textId="77777777" w:rsidR="00B50826" w:rsidRDefault="00006AE2">
      <w:pPr>
        <w:jc w:val="both"/>
        <w:rPr>
          <w:rFonts w:ascii="Arial" w:eastAsia="Arial" w:hAnsi="Arial" w:cs="Arial"/>
          <w:color w:val="002060"/>
          <w:sz w:val="20"/>
          <w:szCs w:val="20"/>
        </w:rPr>
      </w:pPr>
      <w:r>
        <w:rPr>
          <w:rFonts w:ascii="Arial" w:eastAsia="Arial" w:hAnsi="Arial" w:cs="Arial"/>
          <w:b/>
          <w:color w:val="002060"/>
          <w:sz w:val="20"/>
          <w:szCs w:val="20"/>
        </w:rPr>
        <w:t>Puntos críticos relacionados a la sustentabilidad</w:t>
      </w:r>
      <w:r>
        <w:rPr>
          <w:rFonts w:ascii="Arial" w:eastAsia="Arial" w:hAnsi="Arial" w:cs="Arial"/>
          <w:color w:val="002060"/>
          <w:sz w:val="20"/>
          <w:szCs w:val="20"/>
        </w:rPr>
        <w:t>.</w:t>
      </w:r>
    </w:p>
    <w:p w14:paraId="0610D37E"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Elevados procesos de degradación del paisaje.</w:t>
      </w:r>
    </w:p>
    <w:p w14:paraId="4E8E368E"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Contaminación de los ecosistemas con agroquímicos</w:t>
      </w:r>
    </w:p>
    <w:p w14:paraId="40CFBEC0" w14:textId="77777777" w:rsidR="00B50826" w:rsidRDefault="00006AE2">
      <w:pPr>
        <w:numPr>
          <w:ilvl w:val="0"/>
          <w:numId w:val="17"/>
        </w:numPr>
        <w:rPr>
          <w:rFonts w:ascii="Arial" w:eastAsia="Arial" w:hAnsi="Arial" w:cs="Arial"/>
          <w:color w:val="002060"/>
          <w:sz w:val="20"/>
          <w:szCs w:val="20"/>
        </w:rPr>
      </w:pPr>
      <w:r>
        <w:rPr>
          <w:rFonts w:ascii="Arial" w:eastAsia="Arial" w:hAnsi="Arial" w:cs="Arial"/>
          <w:color w:val="002060"/>
          <w:sz w:val="20"/>
          <w:szCs w:val="20"/>
        </w:rPr>
        <w:t>Contaminación de las vertientes de agua por la actividad minera, agroquímicos, aguas mieles (café), y aguas residuales.</w:t>
      </w:r>
    </w:p>
    <w:p w14:paraId="7CD5AB6E" w14:textId="77777777" w:rsidR="00B50826" w:rsidRDefault="00006AE2" w:rsidP="00104768">
      <w:pPr>
        <w:numPr>
          <w:ilvl w:val="0"/>
          <w:numId w:val="17"/>
        </w:num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Alto riesgo de deforestación y expansión permanente sobre BPP y bosques de libre disponibilidad del estado. </w:t>
      </w:r>
    </w:p>
    <w:p w14:paraId="2C1E9971" w14:textId="77777777" w:rsidR="00B50826" w:rsidRDefault="00006AE2">
      <w:pPr>
        <w:numPr>
          <w:ilvl w:val="0"/>
          <w:numId w:val="17"/>
        </w:numPr>
        <w:pBdr>
          <w:top w:val="nil"/>
          <w:left w:val="nil"/>
          <w:bottom w:val="nil"/>
          <w:right w:val="nil"/>
          <w:between w:val="nil"/>
        </w:pBdr>
        <w:rPr>
          <w:rFonts w:ascii="Arial" w:eastAsia="Arial" w:hAnsi="Arial" w:cs="Arial"/>
          <w:color w:val="002060"/>
          <w:sz w:val="20"/>
          <w:szCs w:val="20"/>
        </w:rPr>
      </w:pPr>
      <w:r>
        <w:rPr>
          <w:rFonts w:ascii="Arial" w:eastAsia="Arial" w:hAnsi="Arial" w:cs="Arial"/>
          <w:color w:val="002060"/>
          <w:sz w:val="20"/>
          <w:szCs w:val="20"/>
        </w:rPr>
        <w:t xml:space="preserve">Desarrollo de una economía lineal, deficientes niveles de reutilización y aprovechamiento de sub productos o residuos. </w:t>
      </w:r>
    </w:p>
    <w:p w14:paraId="2CF14EE8" w14:textId="77777777" w:rsidR="00B50826" w:rsidRDefault="00006AE2">
      <w:pPr>
        <w:numPr>
          <w:ilvl w:val="0"/>
          <w:numId w:val="17"/>
        </w:numPr>
        <w:pBdr>
          <w:top w:val="nil"/>
          <w:left w:val="nil"/>
          <w:bottom w:val="nil"/>
          <w:right w:val="nil"/>
          <w:between w:val="nil"/>
        </w:pBdr>
        <w:rPr>
          <w:rFonts w:ascii="Arial" w:eastAsia="Arial" w:hAnsi="Arial" w:cs="Arial"/>
          <w:color w:val="002060"/>
          <w:sz w:val="20"/>
          <w:szCs w:val="20"/>
        </w:rPr>
      </w:pPr>
      <w:r>
        <w:rPr>
          <w:rFonts w:ascii="Arial" w:eastAsia="Arial" w:hAnsi="Arial" w:cs="Arial"/>
          <w:color w:val="002060"/>
          <w:sz w:val="20"/>
          <w:szCs w:val="20"/>
        </w:rPr>
        <w:t>No se respetan las franjas forestales (20%) arboles de copa, ni franjas rivereñas.</w:t>
      </w:r>
    </w:p>
    <w:p w14:paraId="406CDF5E" w14:textId="77777777" w:rsidR="00B50826" w:rsidRDefault="00B50826">
      <w:pPr>
        <w:pBdr>
          <w:top w:val="nil"/>
          <w:left w:val="nil"/>
          <w:bottom w:val="nil"/>
          <w:right w:val="nil"/>
          <w:between w:val="nil"/>
        </w:pBdr>
        <w:jc w:val="both"/>
        <w:rPr>
          <w:rFonts w:ascii="Arial" w:eastAsia="Arial" w:hAnsi="Arial" w:cs="Arial"/>
          <w:b/>
          <w:color w:val="002060"/>
        </w:rPr>
      </w:pPr>
    </w:p>
    <w:p w14:paraId="2BC1DEC2" w14:textId="77777777" w:rsidR="00D029B1" w:rsidRDefault="00D029B1">
      <w:pPr>
        <w:pBdr>
          <w:top w:val="nil"/>
          <w:left w:val="nil"/>
          <w:bottom w:val="nil"/>
          <w:right w:val="nil"/>
          <w:between w:val="nil"/>
        </w:pBdr>
        <w:jc w:val="both"/>
        <w:rPr>
          <w:rFonts w:ascii="Arial" w:eastAsia="Arial" w:hAnsi="Arial" w:cs="Arial"/>
          <w:b/>
          <w:color w:val="002060"/>
          <w:highlight w:val="yellow"/>
        </w:rPr>
      </w:pPr>
    </w:p>
    <w:p w14:paraId="478B8880" w14:textId="77777777" w:rsidR="00B50826" w:rsidRDefault="00006AE2">
      <w:pPr>
        <w:pBdr>
          <w:top w:val="nil"/>
          <w:left w:val="nil"/>
          <w:bottom w:val="nil"/>
          <w:right w:val="nil"/>
          <w:between w:val="nil"/>
        </w:pBdr>
        <w:jc w:val="both"/>
        <w:rPr>
          <w:rFonts w:ascii="Arial" w:eastAsia="Arial" w:hAnsi="Arial" w:cs="Arial"/>
          <w:b/>
          <w:color w:val="002060"/>
        </w:rPr>
      </w:pPr>
      <w:r>
        <w:rPr>
          <w:rFonts w:ascii="Arial" w:eastAsia="Arial" w:hAnsi="Arial" w:cs="Arial"/>
          <w:b/>
          <w:color w:val="002060"/>
          <w:highlight w:val="yellow"/>
        </w:rPr>
        <w:t>Polos de desarrollo.</w:t>
      </w:r>
    </w:p>
    <w:p w14:paraId="4F00700A" w14:textId="77777777" w:rsidR="00B50826" w:rsidRDefault="00B50826">
      <w:pPr>
        <w:pBdr>
          <w:top w:val="nil"/>
          <w:left w:val="nil"/>
          <w:bottom w:val="nil"/>
          <w:right w:val="nil"/>
          <w:between w:val="nil"/>
        </w:pBdr>
        <w:jc w:val="both"/>
        <w:rPr>
          <w:rFonts w:ascii="Arial" w:eastAsia="Arial" w:hAnsi="Arial" w:cs="Arial"/>
          <w:b/>
          <w:color w:val="002060"/>
        </w:rPr>
      </w:pPr>
    </w:p>
    <w:p w14:paraId="5ED70BCB"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El estudio de Polos de desarrollo nos permite identificar el potencial competitivo que presenta el territorio amazónico, considera tres dimensiones: </w:t>
      </w:r>
      <w:r w:rsidR="007C2E5E">
        <w:rPr>
          <w:rFonts w:ascii="Arial" w:eastAsia="Arial" w:hAnsi="Arial" w:cs="Arial"/>
          <w:color w:val="002060"/>
          <w:sz w:val="20"/>
          <w:szCs w:val="20"/>
        </w:rPr>
        <w:t xml:space="preserve">a) </w:t>
      </w:r>
      <w:r>
        <w:rPr>
          <w:rFonts w:ascii="Arial" w:eastAsia="Arial" w:hAnsi="Arial" w:cs="Arial"/>
          <w:color w:val="002060"/>
          <w:sz w:val="20"/>
          <w:szCs w:val="20"/>
        </w:rPr>
        <w:t xml:space="preserve">actitud edafoclimática, </w:t>
      </w:r>
      <w:r w:rsidR="007C2E5E">
        <w:rPr>
          <w:rFonts w:ascii="Arial" w:eastAsia="Arial" w:hAnsi="Arial" w:cs="Arial"/>
          <w:color w:val="002060"/>
          <w:sz w:val="20"/>
          <w:szCs w:val="20"/>
        </w:rPr>
        <w:t xml:space="preserve">b) </w:t>
      </w:r>
      <w:r>
        <w:rPr>
          <w:rFonts w:ascii="Arial" w:eastAsia="Arial" w:hAnsi="Arial" w:cs="Arial"/>
          <w:color w:val="002060"/>
          <w:sz w:val="20"/>
          <w:szCs w:val="20"/>
        </w:rPr>
        <w:t xml:space="preserve">cercanía a las vías de acceso y </w:t>
      </w:r>
      <w:r w:rsidR="007C2E5E">
        <w:rPr>
          <w:rFonts w:ascii="Arial" w:eastAsia="Arial" w:hAnsi="Arial" w:cs="Arial"/>
          <w:color w:val="002060"/>
          <w:sz w:val="20"/>
          <w:szCs w:val="20"/>
        </w:rPr>
        <w:t xml:space="preserve">c) </w:t>
      </w:r>
      <w:r>
        <w:rPr>
          <w:rFonts w:ascii="Arial" w:eastAsia="Arial" w:hAnsi="Arial" w:cs="Arial"/>
          <w:color w:val="002060"/>
          <w:sz w:val="20"/>
          <w:szCs w:val="20"/>
        </w:rPr>
        <w:t xml:space="preserve">disponibilidad la fuerza laboral.   </w:t>
      </w:r>
    </w:p>
    <w:p w14:paraId="7AEC549E" w14:textId="77777777" w:rsidR="00B50826" w:rsidRDefault="00B50826">
      <w:pPr>
        <w:rPr>
          <w:rFonts w:ascii="Arial" w:eastAsia="Arial" w:hAnsi="Arial" w:cs="Arial"/>
          <w:color w:val="002060"/>
          <w:sz w:val="20"/>
          <w:szCs w:val="20"/>
        </w:rPr>
      </w:pPr>
    </w:p>
    <w:p w14:paraId="5777247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 “actitud </w:t>
      </w:r>
      <w:proofErr w:type="spellStart"/>
      <w:r w:rsidR="007C2E5E">
        <w:rPr>
          <w:rFonts w:ascii="Arial" w:eastAsia="Arial" w:hAnsi="Arial" w:cs="Arial"/>
          <w:color w:val="002060"/>
          <w:sz w:val="20"/>
          <w:szCs w:val="20"/>
        </w:rPr>
        <w:t>edafo</w:t>
      </w:r>
      <w:proofErr w:type="spellEnd"/>
      <w:r w:rsidR="007C2E5E">
        <w:rPr>
          <w:rFonts w:ascii="Arial" w:eastAsia="Arial" w:hAnsi="Arial" w:cs="Arial"/>
          <w:color w:val="002060"/>
          <w:sz w:val="20"/>
          <w:szCs w:val="20"/>
        </w:rPr>
        <w:t xml:space="preserve">-climática o </w:t>
      </w:r>
      <w:r>
        <w:rPr>
          <w:rFonts w:ascii="Arial" w:eastAsia="Arial" w:hAnsi="Arial" w:cs="Arial"/>
          <w:color w:val="002060"/>
          <w:sz w:val="20"/>
          <w:szCs w:val="20"/>
        </w:rPr>
        <w:t>biofísica” es la primera dimensión y se ha obtenido con la superposición de diversas capas espaciales, entre ellas clima, fertilidad del suelo, profundidad, tipo de suelo, altitud, precipitación, entre otras, información que se cruza con los requerimientos adecuados para el desarrollo de ciertos cultivos. De igual manera para obtener la dimensión de vías de acceso se ha considerado un máximo de cinco kilómetros o una hora de trayecto caminando al entorno de las pistas, carreteras, trochas, entre otras y por último la dimensión “disponibilidad de fuerza laboral”, concentrada en los centros poblados cercanos, los mismos que deben contar con vías de acceso a los centros de producción, a cinco kilómetros como máximo o una hora de caminata; estas tres dimensiones generan los siguientes escenarios:</w:t>
      </w:r>
    </w:p>
    <w:p w14:paraId="10BFA941" w14:textId="77777777" w:rsidR="00B50826" w:rsidRDefault="00B50826">
      <w:pPr>
        <w:rPr>
          <w:rFonts w:ascii="Arial" w:eastAsia="Arial" w:hAnsi="Arial" w:cs="Arial"/>
          <w:color w:val="002060"/>
          <w:sz w:val="20"/>
          <w:szCs w:val="20"/>
        </w:rPr>
      </w:pPr>
    </w:p>
    <w:p w14:paraId="23CCCDED" w14:textId="77777777" w:rsidR="00B50826" w:rsidRDefault="00006AE2">
      <w:pPr>
        <w:numPr>
          <w:ilvl w:val="0"/>
          <w:numId w:val="19"/>
        </w:numPr>
        <w:pBdr>
          <w:top w:val="nil"/>
          <w:left w:val="nil"/>
          <w:bottom w:val="nil"/>
          <w:right w:val="nil"/>
          <w:between w:val="nil"/>
        </w:pBdr>
        <w:spacing w:line="360" w:lineRule="auto"/>
        <w:jc w:val="both"/>
        <w:rPr>
          <w:rFonts w:ascii="Arial" w:eastAsia="Arial" w:hAnsi="Arial" w:cs="Arial"/>
          <w:color w:val="002060"/>
          <w:sz w:val="20"/>
          <w:szCs w:val="20"/>
        </w:rPr>
      </w:pPr>
      <w:r>
        <w:rPr>
          <w:rFonts w:ascii="Arial" w:eastAsia="Arial" w:hAnsi="Arial" w:cs="Arial"/>
          <w:color w:val="002060"/>
          <w:sz w:val="20"/>
          <w:szCs w:val="20"/>
        </w:rPr>
        <w:t>1° Escenario, sólo actitud biofísica.</w:t>
      </w:r>
    </w:p>
    <w:p w14:paraId="0304B021" w14:textId="77777777" w:rsidR="00B50826" w:rsidRDefault="00006AE2">
      <w:pPr>
        <w:numPr>
          <w:ilvl w:val="0"/>
          <w:numId w:val="19"/>
        </w:numPr>
        <w:pBdr>
          <w:top w:val="nil"/>
          <w:left w:val="nil"/>
          <w:bottom w:val="nil"/>
          <w:right w:val="nil"/>
          <w:between w:val="nil"/>
        </w:pBdr>
        <w:spacing w:line="360" w:lineRule="auto"/>
        <w:jc w:val="both"/>
        <w:rPr>
          <w:rFonts w:ascii="Arial" w:eastAsia="Arial" w:hAnsi="Arial" w:cs="Arial"/>
          <w:color w:val="002060"/>
          <w:sz w:val="20"/>
          <w:szCs w:val="20"/>
        </w:rPr>
      </w:pPr>
      <w:r>
        <w:rPr>
          <w:rFonts w:ascii="Arial" w:eastAsia="Arial" w:hAnsi="Arial" w:cs="Arial"/>
          <w:color w:val="002060"/>
          <w:sz w:val="20"/>
          <w:szCs w:val="20"/>
        </w:rPr>
        <w:t>2° Escenario, sólo actitud biofísica y vías de acceso.</w:t>
      </w:r>
    </w:p>
    <w:p w14:paraId="65E589D9" w14:textId="77777777" w:rsidR="00B50826" w:rsidRDefault="00006AE2">
      <w:pPr>
        <w:numPr>
          <w:ilvl w:val="0"/>
          <w:numId w:val="19"/>
        </w:numPr>
        <w:pBdr>
          <w:top w:val="nil"/>
          <w:left w:val="nil"/>
          <w:bottom w:val="nil"/>
          <w:right w:val="nil"/>
          <w:between w:val="nil"/>
        </w:pBdr>
        <w:spacing w:line="360" w:lineRule="auto"/>
        <w:jc w:val="both"/>
        <w:rPr>
          <w:rFonts w:ascii="Arial" w:eastAsia="Arial" w:hAnsi="Arial" w:cs="Arial"/>
          <w:color w:val="002060"/>
          <w:sz w:val="20"/>
          <w:szCs w:val="20"/>
        </w:rPr>
      </w:pPr>
      <w:r>
        <w:rPr>
          <w:rFonts w:ascii="Arial" w:eastAsia="Arial" w:hAnsi="Arial" w:cs="Arial"/>
          <w:color w:val="002060"/>
          <w:sz w:val="20"/>
          <w:szCs w:val="20"/>
        </w:rPr>
        <w:t>3° Escenario, sólo actitud biofísica y fuerza laboral.</w:t>
      </w:r>
    </w:p>
    <w:p w14:paraId="31E63BF4" w14:textId="77777777" w:rsidR="00B50826" w:rsidRDefault="00006AE2">
      <w:pPr>
        <w:numPr>
          <w:ilvl w:val="0"/>
          <w:numId w:val="19"/>
        </w:numPr>
        <w:pBdr>
          <w:top w:val="nil"/>
          <w:left w:val="nil"/>
          <w:bottom w:val="nil"/>
          <w:right w:val="nil"/>
          <w:between w:val="nil"/>
        </w:pBdr>
        <w:spacing w:after="160" w:line="360" w:lineRule="auto"/>
        <w:jc w:val="both"/>
        <w:rPr>
          <w:rFonts w:ascii="Arial" w:eastAsia="Arial" w:hAnsi="Arial" w:cs="Arial"/>
          <w:color w:val="002060"/>
          <w:sz w:val="20"/>
          <w:szCs w:val="20"/>
        </w:rPr>
      </w:pPr>
      <w:r>
        <w:rPr>
          <w:rFonts w:ascii="Arial" w:eastAsia="Arial" w:hAnsi="Arial" w:cs="Arial"/>
          <w:color w:val="002060"/>
          <w:sz w:val="20"/>
          <w:szCs w:val="20"/>
        </w:rPr>
        <w:t>4° Escenario, contempla todas las dimensiones actitud biofísica, vías de acceso y fuerza laboral.</w:t>
      </w:r>
    </w:p>
    <w:p w14:paraId="6896BC41"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 xml:space="preserve">En los siguientes mapas se puede observar a nivel de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los potenciales productivos de la región:</w:t>
      </w:r>
    </w:p>
    <w:p w14:paraId="79C107CA" w14:textId="77777777" w:rsidR="00B50826" w:rsidRDefault="00B50826">
      <w:pPr>
        <w:rPr>
          <w:rFonts w:ascii="Arial" w:eastAsia="Arial" w:hAnsi="Arial" w:cs="Arial"/>
          <w:color w:val="002060"/>
          <w:sz w:val="20"/>
          <w:szCs w:val="20"/>
        </w:rPr>
      </w:pPr>
    </w:p>
    <w:tbl>
      <w:tblPr>
        <w:tblStyle w:val="af5"/>
        <w:tblW w:w="0" w:type="auto"/>
        <w:tblInd w:w="0" w:type="dxa"/>
        <w:tblLook w:val="0400" w:firstRow="0" w:lastRow="0" w:firstColumn="0" w:lastColumn="0" w:noHBand="0" w:noVBand="1"/>
      </w:tblPr>
      <w:tblGrid>
        <w:gridCol w:w="4523"/>
        <w:gridCol w:w="3981"/>
      </w:tblGrid>
      <w:tr w:rsidR="00EC4DBF" w14:paraId="10D71F28" w14:textId="77777777">
        <w:trPr>
          <w:trHeight w:val="3997"/>
        </w:trPr>
        <w:tc>
          <w:tcPr>
            <w:tcW w:w="0" w:type="auto"/>
          </w:tcPr>
          <w:p w14:paraId="7D54CC16" w14:textId="77777777" w:rsidR="00B50826" w:rsidRDefault="00006AE2" w:rsidP="00EC4DBF">
            <w:pPr>
              <w:ind w:hanging="108"/>
              <w:rPr>
                <w:color w:val="002060"/>
                <w:sz w:val="20"/>
                <w:szCs w:val="20"/>
              </w:rPr>
            </w:pPr>
            <w:r>
              <w:rPr>
                <w:noProof/>
              </w:rPr>
              <w:lastRenderedPageBreak/>
              <w:drawing>
                <wp:inline distT="0" distB="0" distL="0" distR="0" wp14:anchorId="44EC30C2" wp14:editId="34175A38">
                  <wp:extent cx="3139393" cy="2640172"/>
                  <wp:effectExtent l="0" t="0" r="4445" b="8255"/>
                  <wp:docPr id="2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a:stretch>
                            <a:fillRect/>
                          </a:stretch>
                        </pic:blipFill>
                        <pic:spPr>
                          <a:xfrm>
                            <a:off x="0" y="0"/>
                            <a:ext cx="3143465" cy="2643596"/>
                          </a:xfrm>
                          <a:prstGeom prst="rect">
                            <a:avLst/>
                          </a:prstGeom>
                          <a:ln/>
                        </pic:spPr>
                      </pic:pic>
                    </a:graphicData>
                  </a:graphic>
                </wp:inline>
              </w:drawing>
            </w:r>
          </w:p>
        </w:tc>
        <w:tc>
          <w:tcPr>
            <w:tcW w:w="0" w:type="auto"/>
          </w:tcPr>
          <w:p w14:paraId="39266400" w14:textId="77777777" w:rsidR="00B50826" w:rsidRDefault="00006AE2">
            <w:pPr>
              <w:jc w:val="both"/>
              <w:rPr>
                <w:color w:val="002060"/>
                <w:sz w:val="20"/>
                <w:szCs w:val="20"/>
              </w:rPr>
            </w:pPr>
            <w:r>
              <w:rPr>
                <w:noProof/>
              </w:rPr>
              <w:drawing>
                <wp:inline distT="0" distB="0" distL="0" distR="0" wp14:anchorId="7EECE4B7" wp14:editId="610F4088">
                  <wp:extent cx="2688609" cy="2637155"/>
                  <wp:effectExtent l="0" t="0" r="0" b="0"/>
                  <wp:docPr id="25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2712986" cy="2661066"/>
                          </a:xfrm>
                          <a:prstGeom prst="rect">
                            <a:avLst/>
                          </a:prstGeom>
                          <a:ln/>
                        </pic:spPr>
                      </pic:pic>
                    </a:graphicData>
                  </a:graphic>
                </wp:inline>
              </w:drawing>
            </w:r>
          </w:p>
        </w:tc>
      </w:tr>
    </w:tbl>
    <w:p w14:paraId="27D2FC21" w14:textId="77777777" w:rsidR="00B50826" w:rsidRDefault="00B50826">
      <w:pPr>
        <w:rPr>
          <w:color w:val="002060"/>
          <w:sz w:val="20"/>
          <w:szCs w:val="20"/>
        </w:rPr>
      </w:pPr>
    </w:p>
    <w:tbl>
      <w:tblPr>
        <w:tblStyle w:val="af6"/>
        <w:tblW w:w="0" w:type="auto"/>
        <w:tblInd w:w="0" w:type="dxa"/>
        <w:tblLook w:val="0400" w:firstRow="0" w:lastRow="0" w:firstColumn="0" w:lastColumn="0" w:noHBand="0" w:noVBand="1"/>
      </w:tblPr>
      <w:tblGrid>
        <w:gridCol w:w="4348"/>
        <w:gridCol w:w="4156"/>
      </w:tblGrid>
      <w:tr w:rsidR="00B50826" w14:paraId="2EAD57E7" w14:textId="77777777">
        <w:tc>
          <w:tcPr>
            <w:tcW w:w="0" w:type="auto"/>
          </w:tcPr>
          <w:p w14:paraId="641F331C" w14:textId="77777777" w:rsidR="00B50826" w:rsidRDefault="00006AE2">
            <w:pPr>
              <w:ind w:hanging="255"/>
              <w:rPr>
                <w:color w:val="002060"/>
                <w:sz w:val="20"/>
                <w:szCs w:val="20"/>
              </w:rPr>
            </w:pPr>
            <w:r>
              <w:rPr>
                <w:noProof/>
              </w:rPr>
              <w:drawing>
                <wp:inline distT="0" distB="0" distL="0" distR="0" wp14:anchorId="212B8B95" wp14:editId="1E96955E">
                  <wp:extent cx="3037205" cy="2065020"/>
                  <wp:effectExtent l="0" t="0" r="0" b="0"/>
                  <wp:docPr id="25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0"/>
                          <a:srcRect/>
                          <a:stretch>
                            <a:fillRect/>
                          </a:stretch>
                        </pic:blipFill>
                        <pic:spPr>
                          <a:xfrm>
                            <a:off x="0" y="0"/>
                            <a:ext cx="3037312" cy="2065033"/>
                          </a:xfrm>
                          <a:prstGeom prst="rect">
                            <a:avLst/>
                          </a:prstGeom>
                          <a:ln/>
                        </pic:spPr>
                      </pic:pic>
                    </a:graphicData>
                  </a:graphic>
                </wp:inline>
              </w:drawing>
            </w:r>
          </w:p>
        </w:tc>
        <w:tc>
          <w:tcPr>
            <w:tcW w:w="0" w:type="auto"/>
          </w:tcPr>
          <w:p w14:paraId="1BF8B10F" w14:textId="77777777" w:rsidR="00B50826" w:rsidRDefault="00006AE2">
            <w:pPr>
              <w:rPr>
                <w:color w:val="002060"/>
                <w:sz w:val="20"/>
                <w:szCs w:val="20"/>
              </w:rPr>
            </w:pPr>
            <w:r>
              <w:rPr>
                <w:noProof/>
              </w:rPr>
              <w:drawing>
                <wp:inline distT="0" distB="0" distL="0" distR="0" wp14:anchorId="11ED0082" wp14:editId="4C392809">
                  <wp:extent cx="2741295" cy="2063115"/>
                  <wp:effectExtent l="0" t="0" r="0" b="0"/>
                  <wp:docPr id="2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2741746" cy="2063680"/>
                          </a:xfrm>
                          <a:prstGeom prst="rect">
                            <a:avLst/>
                          </a:prstGeom>
                          <a:ln/>
                        </pic:spPr>
                      </pic:pic>
                    </a:graphicData>
                  </a:graphic>
                </wp:inline>
              </w:drawing>
            </w:r>
          </w:p>
        </w:tc>
      </w:tr>
    </w:tbl>
    <w:p w14:paraId="4B120F63" w14:textId="77777777" w:rsidR="00B50826" w:rsidRDefault="00B50826">
      <w:pPr>
        <w:rPr>
          <w:color w:val="002060"/>
          <w:sz w:val="20"/>
          <w:szCs w:val="20"/>
        </w:rPr>
      </w:pPr>
    </w:p>
    <w:p w14:paraId="0EE513F9" w14:textId="77777777" w:rsidR="00B50826" w:rsidRDefault="00B50826">
      <w:pPr>
        <w:rPr>
          <w:color w:val="002060"/>
          <w:sz w:val="20"/>
          <w:szCs w:val="20"/>
        </w:rPr>
      </w:pPr>
    </w:p>
    <w:p w14:paraId="053BE41E"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los cuadros precedentes se puede observar que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de la región, tiene el 23% del área de potencial para el desarrollo agropecuario, 20% de potencial para el desarrollo forestal, 6% </w:t>
      </w:r>
      <w:proofErr w:type="gramStart"/>
      <w:r>
        <w:rPr>
          <w:rFonts w:ascii="Arial" w:eastAsia="Arial" w:hAnsi="Arial" w:cs="Arial"/>
          <w:color w:val="002060"/>
          <w:sz w:val="20"/>
          <w:szCs w:val="20"/>
        </w:rPr>
        <w:t>de  potencial</w:t>
      </w:r>
      <w:proofErr w:type="gramEnd"/>
      <w:r>
        <w:rPr>
          <w:rFonts w:ascii="Arial" w:eastAsia="Arial" w:hAnsi="Arial" w:cs="Arial"/>
          <w:color w:val="002060"/>
          <w:sz w:val="20"/>
          <w:szCs w:val="20"/>
        </w:rPr>
        <w:t xml:space="preserve"> para el desarrollo acuícola, además de turismo que presenta potenciales naturales como son paisajes, lagunas, cataratas, comunidades nativas, entre otros, potencialidades que no se están explotando por no contar con servicios necesarios, entre ellos buenas vías de acceso.</w:t>
      </w:r>
    </w:p>
    <w:p w14:paraId="65AB1043" w14:textId="77777777" w:rsidR="00B50826" w:rsidRDefault="00B50826">
      <w:pPr>
        <w:jc w:val="both"/>
        <w:rPr>
          <w:rFonts w:ascii="Arial" w:eastAsia="Arial" w:hAnsi="Arial" w:cs="Arial"/>
          <w:color w:val="002060"/>
          <w:sz w:val="20"/>
          <w:szCs w:val="20"/>
        </w:rPr>
      </w:pPr>
    </w:p>
    <w:p w14:paraId="6E9BD17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Según los resultados obtenidos en este estudio, a nivel regional se puede afirmar, que en el caso del cultivo de café existe un potencial de 103,369 hectáreas, de las cuales sólo 7,297 ha. cumplen con las tres dimensiones o requisitos, 58,011 ha. cumplen con dos dimensiones actitud biofísica y vías de acceso, pero no cumplen con fuerza laboral; por otro lado tenemos 19,230 ha de cultivo de café, lo que nos permite incrementar las áreas de este cultivo </w:t>
      </w:r>
      <w:r w:rsidR="00EC4DBF">
        <w:rPr>
          <w:rFonts w:ascii="Arial" w:eastAsia="Arial" w:hAnsi="Arial" w:cs="Arial"/>
          <w:color w:val="002060"/>
          <w:sz w:val="20"/>
          <w:szCs w:val="20"/>
        </w:rPr>
        <w:t>a</w:t>
      </w:r>
      <w:r>
        <w:rPr>
          <w:rFonts w:ascii="Arial" w:eastAsia="Arial" w:hAnsi="Arial" w:cs="Arial"/>
          <w:color w:val="002060"/>
          <w:sz w:val="20"/>
          <w:szCs w:val="20"/>
        </w:rPr>
        <w:t xml:space="preserve"> 58,011 has, para lo cual es fundamental hacer mantenimiento constante a las vías de acceso.</w:t>
      </w:r>
    </w:p>
    <w:p w14:paraId="6AC007D0" w14:textId="77777777" w:rsidR="00B50826" w:rsidRDefault="00B50826">
      <w:pPr>
        <w:jc w:val="both"/>
        <w:rPr>
          <w:rFonts w:ascii="Arial" w:eastAsia="Arial" w:hAnsi="Arial" w:cs="Arial"/>
          <w:color w:val="002060"/>
          <w:sz w:val="20"/>
          <w:szCs w:val="20"/>
        </w:rPr>
      </w:pPr>
    </w:p>
    <w:p w14:paraId="63F8B650"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De igual forma en el cultivo de cacao, a nivel regional se tiene una extensión de 16,190 ha. sin embargo existe un potencial para la producción de 187,685 ha. siendo una de los limitantes importantes vías de acceso y fuerza laboral.</w:t>
      </w:r>
    </w:p>
    <w:p w14:paraId="57770FA6" w14:textId="77777777" w:rsidR="00B50826" w:rsidRDefault="00B50826">
      <w:pPr>
        <w:jc w:val="both"/>
        <w:rPr>
          <w:rFonts w:ascii="Arial" w:eastAsia="Arial" w:hAnsi="Arial" w:cs="Arial"/>
          <w:color w:val="002060"/>
          <w:sz w:val="20"/>
          <w:szCs w:val="20"/>
        </w:rPr>
      </w:pPr>
    </w:p>
    <w:p w14:paraId="0DA0456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El cultivo de pastos es el que más ha deforestado en la región, sobre todo en la provincia de Puerto Inca, reportándose una extensión de 162,944 ha., sin embargo existe un potencial de 520,625, de los cuales </w:t>
      </w:r>
      <w:proofErr w:type="gramStart"/>
      <w:r>
        <w:rPr>
          <w:rFonts w:ascii="Arial" w:eastAsia="Arial" w:hAnsi="Arial" w:cs="Arial"/>
          <w:color w:val="002060"/>
          <w:sz w:val="20"/>
          <w:szCs w:val="20"/>
        </w:rPr>
        <w:t>sólo  212,003</w:t>
      </w:r>
      <w:proofErr w:type="gramEnd"/>
      <w:r>
        <w:rPr>
          <w:rFonts w:ascii="Arial" w:eastAsia="Arial" w:hAnsi="Arial" w:cs="Arial"/>
          <w:color w:val="002060"/>
          <w:sz w:val="20"/>
          <w:szCs w:val="20"/>
        </w:rPr>
        <w:t xml:space="preserve"> ha tienen acceso a carreteras, por lo tanto es fundamental mantener en buen estado las carreteras existentes, esto es fundamental, porque se logrará un desarrollo sostenido de la ganadería.</w:t>
      </w:r>
    </w:p>
    <w:p w14:paraId="58940C36" w14:textId="77777777" w:rsidR="00B50826" w:rsidRDefault="00B50826">
      <w:pPr>
        <w:jc w:val="both"/>
        <w:rPr>
          <w:rFonts w:ascii="Arial" w:eastAsia="Arial" w:hAnsi="Arial" w:cs="Arial"/>
          <w:color w:val="002060"/>
          <w:sz w:val="20"/>
          <w:szCs w:val="20"/>
        </w:rPr>
      </w:pPr>
    </w:p>
    <w:p w14:paraId="42A55480"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lastRenderedPageBreak/>
        <w:t>En cuanto a la actividad forestal, no se cuenta con reportes de áreas instaladas, sin embargo existe un potencial para la instalación de 758,494 ha de diversas especies forestales, como se puede observar en el siguiente cuadro.</w:t>
      </w:r>
    </w:p>
    <w:p w14:paraId="5BA78705" w14:textId="77777777" w:rsidR="00B50826" w:rsidRDefault="00B50826" w:rsidP="00EC4DBF">
      <w:pPr>
        <w:ind w:left="1440"/>
        <w:rPr>
          <w:color w:val="002060"/>
          <w:sz w:val="20"/>
          <w:szCs w:val="20"/>
        </w:rPr>
      </w:pPr>
    </w:p>
    <w:tbl>
      <w:tblPr>
        <w:tblStyle w:val="af7"/>
        <w:tblW w:w="0" w:type="auto"/>
        <w:tblInd w:w="1440" w:type="dxa"/>
        <w:tblLook w:val="0400" w:firstRow="0" w:lastRow="0" w:firstColumn="0" w:lastColumn="0" w:noHBand="0" w:noVBand="1"/>
      </w:tblPr>
      <w:tblGrid>
        <w:gridCol w:w="1145"/>
        <w:gridCol w:w="1163"/>
        <w:gridCol w:w="1119"/>
        <w:gridCol w:w="1474"/>
        <w:gridCol w:w="1297"/>
      </w:tblGrid>
      <w:tr w:rsidR="00B50826" w14:paraId="5BA821C6" w14:textId="77777777" w:rsidTr="00EC4DBF">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C6E0B4"/>
            <w:vAlign w:val="center"/>
          </w:tcPr>
          <w:p w14:paraId="44F3A076"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Esp. Forestal </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515F99F2"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Escenario 1 </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5BA1B2E7"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Escenario 2 </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65592786"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Escenario 3 y 4 </w:t>
            </w:r>
          </w:p>
        </w:tc>
        <w:tc>
          <w:tcPr>
            <w:tcW w:w="0" w:type="auto"/>
            <w:tcBorders>
              <w:top w:val="single" w:sz="4" w:space="0" w:color="000000"/>
              <w:left w:val="nil"/>
              <w:bottom w:val="single" w:sz="4" w:space="0" w:color="000000"/>
              <w:right w:val="single" w:sz="4" w:space="0" w:color="000000"/>
            </w:tcBorders>
            <w:shd w:val="clear" w:color="auto" w:fill="C6E0B4"/>
            <w:vAlign w:val="center"/>
          </w:tcPr>
          <w:p w14:paraId="284E3731" w14:textId="77777777" w:rsidR="00B50826" w:rsidRPr="00EC4DBF" w:rsidRDefault="00006AE2">
            <w:pPr>
              <w:jc w:val="center"/>
              <w:rPr>
                <w:rFonts w:ascii="Arial" w:eastAsia="Arial" w:hAnsi="Arial" w:cs="Arial"/>
                <w:b/>
                <w:color w:val="002060"/>
                <w:sz w:val="16"/>
                <w:szCs w:val="16"/>
              </w:rPr>
            </w:pPr>
            <w:r w:rsidRPr="00EC4DBF">
              <w:rPr>
                <w:rFonts w:ascii="Arial" w:eastAsia="Arial" w:hAnsi="Arial" w:cs="Arial"/>
                <w:b/>
                <w:color w:val="002060"/>
                <w:sz w:val="16"/>
                <w:szCs w:val="16"/>
              </w:rPr>
              <w:t xml:space="preserve"> Total </w:t>
            </w:r>
          </w:p>
        </w:tc>
      </w:tr>
      <w:tr w:rsidR="00B50826" w14:paraId="716A4629" w14:textId="77777777" w:rsidTr="00EC4DBF">
        <w:trPr>
          <w:trHeight w:val="144"/>
        </w:trPr>
        <w:tc>
          <w:tcPr>
            <w:tcW w:w="0" w:type="auto"/>
            <w:tcBorders>
              <w:top w:val="nil"/>
              <w:left w:val="single" w:sz="4" w:space="0" w:color="000000"/>
              <w:bottom w:val="single" w:sz="4" w:space="0" w:color="000000"/>
              <w:right w:val="single" w:sz="4" w:space="0" w:color="000000"/>
            </w:tcBorders>
            <w:shd w:val="clear" w:color="auto" w:fill="FFFFFF"/>
            <w:vAlign w:val="center"/>
          </w:tcPr>
          <w:p w14:paraId="5C249400"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Bolaina </w:t>
            </w:r>
          </w:p>
        </w:tc>
        <w:tc>
          <w:tcPr>
            <w:tcW w:w="0" w:type="auto"/>
            <w:tcBorders>
              <w:top w:val="nil"/>
              <w:left w:val="nil"/>
              <w:bottom w:val="single" w:sz="4" w:space="0" w:color="000000"/>
              <w:right w:val="single" w:sz="4" w:space="0" w:color="000000"/>
            </w:tcBorders>
            <w:shd w:val="clear" w:color="auto" w:fill="FFFFFF"/>
            <w:vAlign w:val="bottom"/>
          </w:tcPr>
          <w:p w14:paraId="024EB37F"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17,593 </w:t>
            </w:r>
          </w:p>
        </w:tc>
        <w:tc>
          <w:tcPr>
            <w:tcW w:w="0" w:type="auto"/>
            <w:tcBorders>
              <w:top w:val="nil"/>
              <w:left w:val="nil"/>
              <w:bottom w:val="single" w:sz="4" w:space="0" w:color="000000"/>
              <w:right w:val="single" w:sz="4" w:space="0" w:color="000000"/>
            </w:tcBorders>
            <w:shd w:val="clear" w:color="auto" w:fill="FFFFFF"/>
            <w:vAlign w:val="bottom"/>
          </w:tcPr>
          <w:p w14:paraId="2048CD68"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130,293 </w:t>
            </w:r>
          </w:p>
        </w:tc>
        <w:tc>
          <w:tcPr>
            <w:tcW w:w="0" w:type="auto"/>
            <w:tcBorders>
              <w:top w:val="nil"/>
              <w:left w:val="nil"/>
              <w:bottom w:val="single" w:sz="4" w:space="0" w:color="000000"/>
              <w:right w:val="single" w:sz="4" w:space="0" w:color="000000"/>
            </w:tcBorders>
            <w:shd w:val="clear" w:color="auto" w:fill="FFFFFF"/>
            <w:vAlign w:val="bottom"/>
          </w:tcPr>
          <w:p w14:paraId="23FCC01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39,049 </w:t>
            </w:r>
          </w:p>
        </w:tc>
        <w:tc>
          <w:tcPr>
            <w:tcW w:w="0" w:type="auto"/>
            <w:tcBorders>
              <w:top w:val="nil"/>
              <w:left w:val="nil"/>
              <w:bottom w:val="single" w:sz="4" w:space="0" w:color="000000"/>
              <w:right w:val="single" w:sz="4" w:space="0" w:color="000000"/>
            </w:tcBorders>
            <w:shd w:val="clear" w:color="auto" w:fill="FFFFFF"/>
            <w:vAlign w:val="bottom"/>
          </w:tcPr>
          <w:p w14:paraId="3261EA6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186,935 </w:t>
            </w:r>
          </w:p>
        </w:tc>
      </w:tr>
      <w:tr w:rsidR="00B50826" w14:paraId="2B1A7224" w14:textId="77777777" w:rsidTr="00EC4DBF">
        <w:trPr>
          <w:trHeight w:val="53"/>
        </w:trPr>
        <w:tc>
          <w:tcPr>
            <w:tcW w:w="0" w:type="auto"/>
            <w:tcBorders>
              <w:top w:val="nil"/>
              <w:left w:val="single" w:sz="4" w:space="0" w:color="000000"/>
              <w:bottom w:val="single" w:sz="4" w:space="0" w:color="000000"/>
              <w:right w:val="single" w:sz="4" w:space="0" w:color="000000"/>
            </w:tcBorders>
            <w:shd w:val="clear" w:color="auto" w:fill="FFFFFF"/>
            <w:vAlign w:val="center"/>
          </w:tcPr>
          <w:p w14:paraId="15127D72"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Eucalipto </w:t>
            </w:r>
          </w:p>
        </w:tc>
        <w:tc>
          <w:tcPr>
            <w:tcW w:w="0" w:type="auto"/>
            <w:tcBorders>
              <w:top w:val="nil"/>
              <w:left w:val="nil"/>
              <w:bottom w:val="single" w:sz="4" w:space="0" w:color="000000"/>
              <w:right w:val="single" w:sz="4" w:space="0" w:color="000000"/>
            </w:tcBorders>
            <w:shd w:val="clear" w:color="auto" w:fill="FFFFFF"/>
            <w:vAlign w:val="bottom"/>
          </w:tcPr>
          <w:p w14:paraId="01633D48"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15,658 </w:t>
            </w:r>
          </w:p>
        </w:tc>
        <w:tc>
          <w:tcPr>
            <w:tcW w:w="0" w:type="auto"/>
            <w:tcBorders>
              <w:top w:val="nil"/>
              <w:left w:val="nil"/>
              <w:bottom w:val="single" w:sz="4" w:space="0" w:color="000000"/>
              <w:right w:val="single" w:sz="4" w:space="0" w:color="000000"/>
            </w:tcBorders>
            <w:shd w:val="clear" w:color="auto" w:fill="FFFFFF"/>
            <w:vAlign w:val="bottom"/>
          </w:tcPr>
          <w:p w14:paraId="5732B5D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79,800 </w:t>
            </w:r>
          </w:p>
        </w:tc>
        <w:tc>
          <w:tcPr>
            <w:tcW w:w="0" w:type="auto"/>
            <w:tcBorders>
              <w:top w:val="nil"/>
              <w:left w:val="nil"/>
              <w:bottom w:val="single" w:sz="4" w:space="0" w:color="000000"/>
              <w:right w:val="single" w:sz="4" w:space="0" w:color="000000"/>
            </w:tcBorders>
            <w:shd w:val="clear" w:color="auto" w:fill="FFFFFF"/>
            <w:vAlign w:val="bottom"/>
          </w:tcPr>
          <w:p w14:paraId="4F76EC45"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26,725 </w:t>
            </w:r>
          </w:p>
        </w:tc>
        <w:tc>
          <w:tcPr>
            <w:tcW w:w="0" w:type="auto"/>
            <w:tcBorders>
              <w:top w:val="nil"/>
              <w:left w:val="nil"/>
              <w:bottom w:val="single" w:sz="4" w:space="0" w:color="000000"/>
              <w:right w:val="single" w:sz="4" w:space="0" w:color="000000"/>
            </w:tcBorders>
            <w:shd w:val="clear" w:color="auto" w:fill="FFFFFF"/>
            <w:vAlign w:val="bottom"/>
          </w:tcPr>
          <w:p w14:paraId="2052FF5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122,183 </w:t>
            </w:r>
          </w:p>
        </w:tc>
      </w:tr>
      <w:tr w:rsidR="00B50826" w14:paraId="54E95F85" w14:textId="77777777" w:rsidTr="00EC4DBF">
        <w:trPr>
          <w:trHeight w:val="53"/>
        </w:trPr>
        <w:tc>
          <w:tcPr>
            <w:tcW w:w="0" w:type="auto"/>
            <w:tcBorders>
              <w:top w:val="nil"/>
              <w:left w:val="single" w:sz="4" w:space="0" w:color="000000"/>
              <w:bottom w:val="single" w:sz="4" w:space="0" w:color="000000"/>
              <w:right w:val="single" w:sz="4" w:space="0" w:color="000000"/>
            </w:tcBorders>
            <w:shd w:val="clear" w:color="auto" w:fill="FFFFFF"/>
            <w:vAlign w:val="center"/>
          </w:tcPr>
          <w:p w14:paraId="30999822"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w:t>
            </w:r>
            <w:proofErr w:type="spellStart"/>
            <w:r w:rsidRPr="00EC4DBF">
              <w:rPr>
                <w:rFonts w:ascii="Arial" w:eastAsia="Arial" w:hAnsi="Arial" w:cs="Arial"/>
                <w:color w:val="002060"/>
                <w:sz w:val="16"/>
                <w:szCs w:val="16"/>
              </w:rPr>
              <w:t>Mohena</w:t>
            </w:r>
            <w:proofErr w:type="spellEnd"/>
            <w:r w:rsidRPr="00EC4DBF">
              <w:rPr>
                <w:rFonts w:ascii="Arial" w:eastAsia="Arial" w:hAnsi="Arial" w:cs="Arial"/>
                <w:color w:val="002060"/>
                <w:sz w:val="16"/>
                <w:szCs w:val="16"/>
              </w:rPr>
              <w:t xml:space="preserve"> </w:t>
            </w:r>
          </w:p>
        </w:tc>
        <w:tc>
          <w:tcPr>
            <w:tcW w:w="0" w:type="auto"/>
            <w:tcBorders>
              <w:top w:val="nil"/>
              <w:left w:val="nil"/>
              <w:bottom w:val="single" w:sz="4" w:space="0" w:color="000000"/>
              <w:right w:val="single" w:sz="4" w:space="0" w:color="000000"/>
            </w:tcBorders>
            <w:shd w:val="clear" w:color="auto" w:fill="FFFFFF"/>
            <w:vAlign w:val="bottom"/>
          </w:tcPr>
          <w:p w14:paraId="0F6E2E04"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2,094 </w:t>
            </w:r>
          </w:p>
        </w:tc>
        <w:tc>
          <w:tcPr>
            <w:tcW w:w="0" w:type="auto"/>
            <w:tcBorders>
              <w:top w:val="nil"/>
              <w:left w:val="nil"/>
              <w:bottom w:val="single" w:sz="4" w:space="0" w:color="000000"/>
              <w:right w:val="single" w:sz="4" w:space="0" w:color="000000"/>
            </w:tcBorders>
            <w:shd w:val="clear" w:color="auto" w:fill="FFFFFF"/>
            <w:vAlign w:val="bottom"/>
          </w:tcPr>
          <w:p w14:paraId="10E804E1"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8,729 </w:t>
            </w:r>
          </w:p>
        </w:tc>
        <w:tc>
          <w:tcPr>
            <w:tcW w:w="0" w:type="auto"/>
            <w:tcBorders>
              <w:top w:val="nil"/>
              <w:left w:val="nil"/>
              <w:bottom w:val="single" w:sz="4" w:space="0" w:color="000000"/>
              <w:right w:val="single" w:sz="4" w:space="0" w:color="000000"/>
            </w:tcBorders>
            <w:shd w:val="clear" w:color="auto" w:fill="FFFFFF"/>
            <w:vAlign w:val="bottom"/>
          </w:tcPr>
          <w:p w14:paraId="300FF2C6"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3,237 </w:t>
            </w:r>
          </w:p>
        </w:tc>
        <w:tc>
          <w:tcPr>
            <w:tcW w:w="0" w:type="auto"/>
            <w:tcBorders>
              <w:top w:val="nil"/>
              <w:left w:val="nil"/>
              <w:bottom w:val="single" w:sz="4" w:space="0" w:color="000000"/>
              <w:right w:val="single" w:sz="4" w:space="0" w:color="000000"/>
            </w:tcBorders>
            <w:shd w:val="clear" w:color="auto" w:fill="FFFFFF"/>
            <w:vAlign w:val="bottom"/>
          </w:tcPr>
          <w:p w14:paraId="6EE150E5"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14,060 </w:t>
            </w:r>
          </w:p>
        </w:tc>
      </w:tr>
      <w:tr w:rsidR="00B50826" w14:paraId="36FE5D10" w14:textId="77777777" w:rsidTr="00EC4DBF">
        <w:trPr>
          <w:trHeight w:val="56"/>
        </w:trPr>
        <w:tc>
          <w:tcPr>
            <w:tcW w:w="0" w:type="auto"/>
            <w:tcBorders>
              <w:top w:val="nil"/>
              <w:left w:val="single" w:sz="4" w:space="0" w:color="000000"/>
              <w:bottom w:val="single" w:sz="4" w:space="0" w:color="000000"/>
              <w:right w:val="single" w:sz="4" w:space="0" w:color="000000"/>
            </w:tcBorders>
            <w:shd w:val="clear" w:color="auto" w:fill="FFFFFF"/>
            <w:vAlign w:val="center"/>
          </w:tcPr>
          <w:p w14:paraId="180254C0"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Pino </w:t>
            </w:r>
          </w:p>
        </w:tc>
        <w:tc>
          <w:tcPr>
            <w:tcW w:w="0" w:type="auto"/>
            <w:tcBorders>
              <w:top w:val="nil"/>
              <w:left w:val="nil"/>
              <w:bottom w:val="single" w:sz="4" w:space="0" w:color="000000"/>
              <w:right w:val="single" w:sz="4" w:space="0" w:color="000000"/>
            </w:tcBorders>
            <w:shd w:val="clear" w:color="auto" w:fill="FFFFFF"/>
            <w:vAlign w:val="bottom"/>
          </w:tcPr>
          <w:p w14:paraId="2C79FEA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19,696 </w:t>
            </w:r>
          </w:p>
        </w:tc>
        <w:tc>
          <w:tcPr>
            <w:tcW w:w="0" w:type="auto"/>
            <w:tcBorders>
              <w:top w:val="nil"/>
              <w:left w:val="nil"/>
              <w:bottom w:val="single" w:sz="4" w:space="0" w:color="000000"/>
              <w:right w:val="single" w:sz="4" w:space="0" w:color="000000"/>
            </w:tcBorders>
            <w:shd w:val="clear" w:color="auto" w:fill="FFFFFF"/>
            <w:vAlign w:val="bottom"/>
          </w:tcPr>
          <w:p w14:paraId="5F2B0949"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58,800 </w:t>
            </w:r>
          </w:p>
        </w:tc>
        <w:tc>
          <w:tcPr>
            <w:tcW w:w="0" w:type="auto"/>
            <w:tcBorders>
              <w:top w:val="nil"/>
              <w:left w:val="nil"/>
              <w:bottom w:val="single" w:sz="4" w:space="0" w:color="000000"/>
              <w:right w:val="single" w:sz="4" w:space="0" w:color="000000"/>
            </w:tcBorders>
            <w:shd w:val="clear" w:color="auto" w:fill="FFFFFF"/>
            <w:vAlign w:val="bottom"/>
          </w:tcPr>
          <w:p w14:paraId="11100D5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16,072 </w:t>
            </w:r>
          </w:p>
        </w:tc>
        <w:tc>
          <w:tcPr>
            <w:tcW w:w="0" w:type="auto"/>
            <w:tcBorders>
              <w:top w:val="nil"/>
              <w:left w:val="nil"/>
              <w:bottom w:val="single" w:sz="4" w:space="0" w:color="000000"/>
              <w:right w:val="single" w:sz="4" w:space="0" w:color="000000"/>
            </w:tcBorders>
            <w:shd w:val="clear" w:color="auto" w:fill="FFFFFF"/>
            <w:vAlign w:val="bottom"/>
          </w:tcPr>
          <w:p w14:paraId="2FDC7196"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94,568 </w:t>
            </w:r>
          </w:p>
        </w:tc>
      </w:tr>
      <w:tr w:rsidR="00B50826" w14:paraId="1F49D0BF" w14:textId="77777777" w:rsidTr="00EC4DBF">
        <w:trPr>
          <w:trHeight w:val="88"/>
        </w:trPr>
        <w:tc>
          <w:tcPr>
            <w:tcW w:w="0" w:type="auto"/>
            <w:tcBorders>
              <w:top w:val="nil"/>
              <w:left w:val="single" w:sz="4" w:space="0" w:color="000000"/>
              <w:bottom w:val="single" w:sz="4" w:space="0" w:color="000000"/>
              <w:right w:val="single" w:sz="4" w:space="0" w:color="000000"/>
            </w:tcBorders>
            <w:shd w:val="clear" w:color="auto" w:fill="FFFFFF"/>
            <w:vAlign w:val="center"/>
          </w:tcPr>
          <w:p w14:paraId="5744F2EC"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Tornillo </w:t>
            </w:r>
          </w:p>
        </w:tc>
        <w:tc>
          <w:tcPr>
            <w:tcW w:w="0" w:type="auto"/>
            <w:tcBorders>
              <w:top w:val="nil"/>
              <w:left w:val="nil"/>
              <w:bottom w:val="single" w:sz="4" w:space="0" w:color="000000"/>
              <w:right w:val="single" w:sz="4" w:space="0" w:color="000000"/>
            </w:tcBorders>
            <w:shd w:val="clear" w:color="auto" w:fill="FFFFFF"/>
            <w:vAlign w:val="bottom"/>
          </w:tcPr>
          <w:p w14:paraId="0B2825D9"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41,581 </w:t>
            </w:r>
          </w:p>
        </w:tc>
        <w:tc>
          <w:tcPr>
            <w:tcW w:w="0" w:type="auto"/>
            <w:tcBorders>
              <w:top w:val="nil"/>
              <w:left w:val="nil"/>
              <w:bottom w:val="single" w:sz="4" w:space="0" w:color="000000"/>
              <w:right w:val="single" w:sz="4" w:space="0" w:color="000000"/>
            </w:tcBorders>
            <w:shd w:val="clear" w:color="auto" w:fill="FFFFFF"/>
            <w:vAlign w:val="bottom"/>
          </w:tcPr>
          <w:p w14:paraId="1E40AEB4"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128,443 </w:t>
            </w:r>
          </w:p>
        </w:tc>
        <w:tc>
          <w:tcPr>
            <w:tcW w:w="0" w:type="auto"/>
            <w:tcBorders>
              <w:top w:val="nil"/>
              <w:left w:val="nil"/>
              <w:bottom w:val="single" w:sz="4" w:space="0" w:color="000000"/>
              <w:right w:val="single" w:sz="4" w:space="0" w:color="000000"/>
            </w:tcBorders>
            <w:shd w:val="clear" w:color="auto" w:fill="FFFFFF"/>
            <w:vAlign w:val="bottom"/>
          </w:tcPr>
          <w:p w14:paraId="327B0410"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30,548 </w:t>
            </w:r>
          </w:p>
        </w:tc>
        <w:tc>
          <w:tcPr>
            <w:tcW w:w="0" w:type="auto"/>
            <w:tcBorders>
              <w:top w:val="nil"/>
              <w:left w:val="nil"/>
              <w:bottom w:val="single" w:sz="4" w:space="0" w:color="000000"/>
              <w:right w:val="single" w:sz="4" w:space="0" w:color="000000"/>
            </w:tcBorders>
            <w:shd w:val="clear" w:color="auto" w:fill="FFFFFF"/>
            <w:vAlign w:val="bottom"/>
          </w:tcPr>
          <w:p w14:paraId="34579708"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200,572 </w:t>
            </w:r>
          </w:p>
        </w:tc>
      </w:tr>
      <w:tr w:rsidR="00B50826" w14:paraId="4D470AE2" w14:textId="77777777" w:rsidTr="00EC4DBF">
        <w:trPr>
          <w:trHeight w:val="106"/>
        </w:trPr>
        <w:tc>
          <w:tcPr>
            <w:tcW w:w="0" w:type="auto"/>
            <w:tcBorders>
              <w:top w:val="nil"/>
              <w:left w:val="single" w:sz="4" w:space="0" w:color="000000"/>
              <w:bottom w:val="single" w:sz="4" w:space="0" w:color="000000"/>
              <w:right w:val="single" w:sz="4" w:space="0" w:color="000000"/>
            </w:tcBorders>
            <w:shd w:val="clear" w:color="auto" w:fill="FFFFFF"/>
            <w:vAlign w:val="center"/>
          </w:tcPr>
          <w:p w14:paraId="6DD9E3C2"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Capirona </w:t>
            </w:r>
          </w:p>
        </w:tc>
        <w:tc>
          <w:tcPr>
            <w:tcW w:w="0" w:type="auto"/>
            <w:tcBorders>
              <w:top w:val="nil"/>
              <w:left w:val="nil"/>
              <w:bottom w:val="single" w:sz="4" w:space="0" w:color="000000"/>
              <w:right w:val="single" w:sz="4" w:space="0" w:color="000000"/>
            </w:tcBorders>
            <w:shd w:val="clear" w:color="auto" w:fill="FFFFFF"/>
            <w:vAlign w:val="bottom"/>
          </w:tcPr>
          <w:p w14:paraId="5B03886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16,061 </w:t>
            </w:r>
          </w:p>
        </w:tc>
        <w:tc>
          <w:tcPr>
            <w:tcW w:w="0" w:type="auto"/>
            <w:tcBorders>
              <w:top w:val="nil"/>
              <w:left w:val="nil"/>
              <w:bottom w:val="single" w:sz="4" w:space="0" w:color="000000"/>
              <w:right w:val="single" w:sz="4" w:space="0" w:color="000000"/>
            </w:tcBorders>
            <w:shd w:val="clear" w:color="auto" w:fill="FFFFFF"/>
            <w:vAlign w:val="bottom"/>
          </w:tcPr>
          <w:p w14:paraId="3194CC3B"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70,070 </w:t>
            </w:r>
          </w:p>
        </w:tc>
        <w:tc>
          <w:tcPr>
            <w:tcW w:w="0" w:type="auto"/>
            <w:tcBorders>
              <w:top w:val="nil"/>
              <w:left w:val="nil"/>
              <w:bottom w:val="single" w:sz="4" w:space="0" w:color="000000"/>
              <w:right w:val="single" w:sz="4" w:space="0" w:color="000000"/>
            </w:tcBorders>
            <w:shd w:val="clear" w:color="auto" w:fill="FFFFFF"/>
            <w:vAlign w:val="bottom"/>
          </w:tcPr>
          <w:p w14:paraId="346BD418"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53,174 </w:t>
            </w:r>
          </w:p>
        </w:tc>
        <w:tc>
          <w:tcPr>
            <w:tcW w:w="0" w:type="auto"/>
            <w:tcBorders>
              <w:top w:val="nil"/>
              <w:left w:val="nil"/>
              <w:bottom w:val="single" w:sz="4" w:space="0" w:color="000000"/>
              <w:right w:val="single" w:sz="4" w:space="0" w:color="000000"/>
            </w:tcBorders>
            <w:shd w:val="clear" w:color="auto" w:fill="FFFFFF"/>
            <w:vAlign w:val="bottom"/>
          </w:tcPr>
          <w:p w14:paraId="27B45C56"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139,305 </w:t>
            </w:r>
          </w:p>
        </w:tc>
      </w:tr>
      <w:tr w:rsidR="00B50826" w14:paraId="5ED81558" w14:textId="77777777" w:rsidTr="00EC4DBF">
        <w:trPr>
          <w:trHeight w:val="125"/>
        </w:trPr>
        <w:tc>
          <w:tcPr>
            <w:tcW w:w="0" w:type="auto"/>
            <w:tcBorders>
              <w:top w:val="nil"/>
              <w:left w:val="single" w:sz="4" w:space="0" w:color="000000"/>
              <w:bottom w:val="single" w:sz="4" w:space="0" w:color="000000"/>
              <w:right w:val="single" w:sz="4" w:space="0" w:color="000000"/>
            </w:tcBorders>
            <w:shd w:val="clear" w:color="auto" w:fill="FFFFFF"/>
            <w:vAlign w:val="center"/>
          </w:tcPr>
          <w:p w14:paraId="3979706B"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Teca </w:t>
            </w:r>
          </w:p>
        </w:tc>
        <w:tc>
          <w:tcPr>
            <w:tcW w:w="0" w:type="auto"/>
            <w:tcBorders>
              <w:top w:val="nil"/>
              <w:left w:val="nil"/>
              <w:bottom w:val="single" w:sz="4" w:space="0" w:color="000000"/>
              <w:right w:val="single" w:sz="4" w:space="0" w:color="000000"/>
            </w:tcBorders>
            <w:shd w:val="clear" w:color="auto" w:fill="FFFFFF"/>
            <w:vAlign w:val="bottom"/>
          </w:tcPr>
          <w:p w14:paraId="02DA9D6E"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w:t>
            </w:r>
          </w:p>
        </w:tc>
        <w:tc>
          <w:tcPr>
            <w:tcW w:w="0" w:type="auto"/>
            <w:tcBorders>
              <w:top w:val="nil"/>
              <w:left w:val="nil"/>
              <w:bottom w:val="single" w:sz="4" w:space="0" w:color="000000"/>
              <w:right w:val="single" w:sz="4" w:space="0" w:color="000000"/>
            </w:tcBorders>
            <w:shd w:val="clear" w:color="auto" w:fill="FFFFFF"/>
            <w:vAlign w:val="bottom"/>
          </w:tcPr>
          <w:p w14:paraId="17D62F4C"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49 </w:t>
            </w:r>
          </w:p>
        </w:tc>
        <w:tc>
          <w:tcPr>
            <w:tcW w:w="0" w:type="auto"/>
            <w:tcBorders>
              <w:top w:val="nil"/>
              <w:left w:val="nil"/>
              <w:bottom w:val="single" w:sz="4" w:space="0" w:color="000000"/>
              <w:right w:val="single" w:sz="4" w:space="0" w:color="000000"/>
            </w:tcBorders>
            <w:shd w:val="clear" w:color="auto" w:fill="FFFFFF"/>
            <w:vAlign w:val="bottom"/>
          </w:tcPr>
          <w:p w14:paraId="0EE14225"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3 </w:t>
            </w:r>
          </w:p>
        </w:tc>
        <w:tc>
          <w:tcPr>
            <w:tcW w:w="0" w:type="auto"/>
            <w:tcBorders>
              <w:top w:val="nil"/>
              <w:left w:val="nil"/>
              <w:bottom w:val="single" w:sz="4" w:space="0" w:color="000000"/>
              <w:right w:val="single" w:sz="4" w:space="0" w:color="000000"/>
            </w:tcBorders>
            <w:shd w:val="clear" w:color="auto" w:fill="FFFFFF"/>
            <w:vAlign w:val="bottom"/>
          </w:tcPr>
          <w:p w14:paraId="72B32D27"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52 </w:t>
            </w:r>
          </w:p>
        </w:tc>
      </w:tr>
      <w:tr w:rsidR="00B50826" w14:paraId="6B88BC1F" w14:textId="77777777" w:rsidTr="00EC4DBF">
        <w:trPr>
          <w:trHeight w:val="53"/>
        </w:trPr>
        <w:tc>
          <w:tcPr>
            <w:tcW w:w="0" w:type="auto"/>
            <w:tcBorders>
              <w:top w:val="nil"/>
              <w:left w:val="single" w:sz="4" w:space="0" w:color="000000"/>
              <w:bottom w:val="single" w:sz="4" w:space="0" w:color="000000"/>
              <w:right w:val="single" w:sz="4" w:space="0" w:color="000000"/>
            </w:tcBorders>
            <w:shd w:val="clear" w:color="auto" w:fill="FFFFFF"/>
            <w:vAlign w:val="center"/>
          </w:tcPr>
          <w:p w14:paraId="22B7CBA1"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w:t>
            </w:r>
            <w:proofErr w:type="spellStart"/>
            <w:r w:rsidRPr="00EC4DBF">
              <w:rPr>
                <w:rFonts w:ascii="Arial" w:eastAsia="Arial" w:hAnsi="Arial" w:cs="Arial"/>
                <w:color w:val="002060"/>
                <w:sz w:val="16"/>
                <w:szCs w:val="16"/>
              </w:rPr>
              <w:t>Cipres</w:t>
            </w:r>
            <w:proofErr w:type="spellEnd"/>
            <w:r w:rsidRPr="00EC4DBF">
              <w:rPr>
                <w:rFonts w:ascii="Arial" w:eastAsia="Arial" w:hAnsi="Arial" w:cs="Arial"/>
                <w:color w:val="002060"/>
                <w:sz w:val="16"/>
                <w:szCs w:val="16"/>
              </w:rPr>
              <w:t xml:space="preserve"> </w:t>
            </w:r>
          </w:p>
        </w:tc>
        <w:tc>
          <w:tcPr>
            <w:tcW w:w="0" w:type="auto"/>
            <w:tcBorders>
              <w:top w:val="nil"/>
              <w:left w:val="nil"/>
              <w:bottom w:val="single" w:sz="4" w:space="0" w:color="000000"/>
              <w:right w:val="single" w:sz="4" w:space="0" w:color="000000"/>
            </w:tcBorders>
            <w:shd w:val="clear" w:color="auto" w:fill="FFFFFF"/>
            <w:vAlign w:val="bottom"/>
          </w:tcPr>
          <w:p w14:paraId="000BA03B"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127 </w:t>
            </w:r>
          </w:p>
        </w:tc>
        <w:tc>
          <w:tcPr>
            <w:tcW w:w="0" w:type="auto"/>
            <w:tcBorders>
              <w:top w:val="nil"/>
              <w:left w:val="nil"/>
              <w:bottom w:val="single" w:sz="4" w:space="0" w:color="000000"/>
              <w:right w:val="single" w:sz="4" w:space="0" w:color="000000"/>
            </w:tcBorders>
            <w:shd w:val="clear" w:color="auto" w:fill="FFFFFF"/>
            <w:vAlign w:val="bottom"/>
          </w:tcPr>
          <w:p w14:paraId="590EA883"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143 </w:t>
            </w:r>
          </w:p>
        </w:tc>
        <w:tc>
          <w:tcPr>
            <w:tcW w:w="0" w:type="auto"/>
            <w:tcBorders>
              <w:top w:val="nil"/>
              <w:left w:val="nil"/>
              <w:bottom w:val="single" w:sz="4" w:space="0" w:color="000000"/>
              <w:right w:val="single" w:sz="4" w:space="0" w:color="000000"/>
            </w:tcBorders>
            <w:shd w:val="clear" w:color="auto" w:fill="FFFFFF"/>
            <w:vAlign w:val="bottom"/>
          </w:tcPr>
          <w:p w14:paraId="22638275"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549 </w:t>
            </w:r>
          </w:p>
        </w:tc>
        <w:tc>
          <w:tcPr>
            <w:tcW w:w="0" w:type="auto"/>
            <w:tcBorders>
              <w:top w:val="nil"/>
              <w:left w:val="nil"/>
              <w:bottom w:val="single" w:sz="4" w:space="0" w:color="000000"/>
              <w:right w:val="single" w:sz="4" w:space="0" w:color="000000"/>
            </w:tcBorders>
            <w:shd w:val="clear" w:color="auto" w:fill="FFFFFF"/>
            <w:vAlign w:val="bottom"/>
          </w:tcPr>
          <w:p w14:paraId="5E9093F3" w14:textId="77777777" w:rsidR="00B50826" w:rsidRPr="00EC4DBF" w:rsidRDefault="00006AE2">
            <w:pPr>
              <w:rPr>
                <w:rFonts w:ascii="Arial" w:eastAsia="Arial" w:hAnsi="Arial" w:cs="Arial"/>
                <w:color w:val="002060"/>
                <w:sz w:val="16"/>
                <w:szCs w:val="16"/>
              </w:rPr>
            </w:pPr>
            <w:r w:rsidRPr="00EC4DBF">
              <w:rPr>
                <w:rFonts w:ascii="Arial" w:eastAsia="Arial" w:hAnsi="Arial" w:cs="Arial"/>
                <w:color w:val="002060"/>
                <w:sz w:val="16"/>
                <w:szCs w:val="16"/>
              </w:rPr>
              <w:t xml:space="preserve">                   819 </w:t>
            </w:r>
          </w:p>
        </w:tc>
      </w:tr>
      <w:tr w:rsidR="00B50826" w14:paraId="331DA8E3" w14:textId="77777777" w:rsidTr="00EC4DBF">
        <w:trPr>
          <w:trHeight w:val="161"/>
        </w:trPr>
        <w:tc>
          <w:tcPr>
            <w:tcW w:w="0" w:type="auto"/>
            <w:tcBorders>
              <w:top w:val="nil"/>
              <w:left w:val="single" w:sz="4" w:space="0" w:color="000000"/>
              <w:bottom w:val="single" w:sz="4" w:space="0" w:color="000000"/>
              <w:right w:val="single" w:sz="4" w:space="0" w:color="000000"/>
            </w:tcBorders>
            <w:shd w:val="clear" w:color="auto" w:fill="C6E0B4"/>
            <w:vAlign w:val="center"/>
          </w:tcPr>
          <w:p w14:paraId="77A5F236"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Total </w:t>
            </w:r>
          </w:p>
        </w:tc>
        <w:tc>
          <w:tcPr>
            <w:tcW w:w="0" w:type="auto"/>
            <w:tcBorders>
              <w:top w:val="nil"/>
              <w:left w:val="nil"/>
              <w:bottom w:val="single" w:sz="4" w:space="0" w:color="000000"/>
              <w:right w:val="single" w:sz="4" w:space="0" w:color="000000"/>
            </w:tcBorders>
            <w:shd w:val="clear" w:color="auto" w:fill="C6E0B4"/>
            <w:vAlign w:val="bottom"/>
          </w:tcPr>
          <w:p w14:paraId="3449F2AF"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112,810 </w:t>
            </w:r>
          </w:p>
        </w:tc>
        <w:tc>
          <w:tcPr>
            <w:tcW w:w="0" w:type="auto"/>
            <w:tcBorders>
              <w:top w:val="nil"/>
              <w:left w:val="nil"/>
              <w:bottom w:val="single" w:sz="4" w:space="0" w:color="000000"/>
              <w:right w:val="single" w:sz="4" w:space="0" w:color="000000"/>
            </w:tcBorders>
            <w:shd w:val="clear" w:color="auto" w:fill="C6E0B4"/>
            <w:vAlign w:val="bottom"/>
          </w:tcPr>
          <w:p w14:paraId="13F0012A"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476,327 </w:t>
            </w:r>
          </w:p>
        </w:tc>
        <w:tc>
          <w:tcPr>
            <w:tcW w:w="0" w:type="auto"/>
            <w:tcBorders>
              <w:top w:val="nil"/>
              <w:left w:val="nil"/>
              <w:bottom w:val="single" w:sz="4" w:space="0" w:color="000000"/>
              <w:right w:val="single" w:sz="4" w:space="0" w:color="000000"/>
            </w:tcBorders>
            <w:shd w:val="clear" w:color="auto" w:fill="C6E0B4"/>
            <w:vAlign w:val="bottom"/>
          </w:tcPr>
          <w:p w14:paraId="796956B6"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169,357 </w:t>
            </w:r>
          </w:p>
        </w:tc>
        <w:tc>
          <w:tcPr>
            <w:tcW w:w="0" w:type="auto"/>
            <w:tcBorders>
              <w:top w:val="nil"/>
              <w:left w:val="nil"/>
              <w:bottom w:val="single" w:sz="4" w:space="0" w:color="000000"/>
              <w:right w:val="single" w:sz="4" w:space="0" w:color="000000"/>
            </w:tcBorders>
            <w:shd w:val="clear" w:color="auto" w:fill="C6E0B4"/>
            <w:vAlign w:val="bottom"/>
          </w:tcPr>
          <w:p w14:paraId="593075A2" w14:textId="77777777" w:rsidR="00B50826" w:rsidRPr="00EC4DBF" w:rsidRDefault="00006AE2">
            <w:pPr>
              <w:rPr>
                <w:rFonts w:ascii="Arial" w:eastAsia="Arial" w:hAnsi="Arial" w:cs="Arial"/>
                <w:b/>
                <w:color w:val="002060"/>
                <w:sz w:val="16"/>
                <w:szCs w:val="16"/>
              </w:rPr>
            </w:pPr>
            <w:r w:rsidRPr="00EC4DBF">
              <w:rPr>
                <w:rFonts w:ascii="Arial" w:eastAsia="Arial" w:hAnsi="Arial" w:cs="Arial"/>
                <w:b/>
                <w:color w:val="002060"/>
                <w:sz w:val="16"/>
                <w:szCs w:val="16"/>
              </w:rPr>
              <w:t xml:space="preserve">             758,494 </w:t>
            </w:r>
          </w:p>
        </w:tc>
      </w:tr>
    </w:tbl>
    <w:p w14:paraId="13E4C88F" w14:textId="77777777" w:rsidR="00B50826" w:rsidRDefault="00B50826" w:rsidP="00EC4DBF">
      <w:pPr>
        <w:ind w:left="1440"/>
        <w:rPr>
          <w:rFonts w:ascii="Arial" w:eastAsia="Arial" w:hAnsi="Arial" w:cs="Arial"/>
          <w:color w:val="002060"/>
        </w:rPr>
      </w:pPr>
    </w:p>
    <w:p w14:paraId="4AEEE35A"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Existen 112,810 has que no cuentan con vías de acceso sobre las cuales se debe evaluar la posibilidad de implementarlas</w:t>
      </w:r>
      <w:r w:rsidR="00076551">
        <w:rPr>
          <w:rFonts w:ascii="Arial" w:eastAsia="Arial" w:hAnsi="Arial" w:cs="Arial"/>
          <w:color w:val="002060"/>
          <w:sz w:val="20"/>
          <w:szCs w:val="20"/>
        </w:rPr>
        <w:t>, para poder mejorar la competitividad en la actividad forestal</w:t>
      </w:r>
      <w:r>
        <w:rPr>
          <w:rFonts w:ascii="Arial" w:eastAsia="Arial" w:hAnsi="Arial" w:cs="Arial"/>
          <w:color w:val="002060"/>
          <w:sz w:val="20"/>
          <w:szCs w:val="20"/>
        </w:rPr>
        <w:t>, después tenemos 476,327 ha con vías de acceso que deben ser conservadas en buen estado.</w:t>
      </w:r>
    </w:p>
    <w:p w14:paraId="4994BF86" w14:textId="77777777" w:rsidR="00B50826" w:rsidRDefault="00B50826">
      <w:pPr>
        <w:jc w:val="both"/>
        <w:rPr>
          <w:rFonts w:ascii="Arial" w:eastAsia="Arial" w:hAnsi="Arial" w:cs="Arial"/>
          <w:color w:val="002060"/>
          <w:sz w:val="20"/>
          <w:szCs w:val="20"/>
        </w:rPr>
      </w:pPr>
    </w:p>
    <w:p w14:paraId="6A844A9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Como podemos observar existe gran potencial productivo, sin embargo es necesario generar ciertas condiciones para lograr actividades agropecuarias sostenibles y competitivas, en beneficio de la población rural y del desarrollo de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de la región.</w:t>
      </w:r>
    </w:p>
    <w:p w14:paraId="702FB8E2" w14:textId="77777777" w:rsidR="00B50826" w:rsidRDefault="00006AE2">
      <w:pPr>
        <w:pBdr>
          <w:top w:val="nil"/>
          <w:left w:val="nil"/>
          <w:bottom w:val="nil"/>
          <w:right w:val="nil"/>
          <w:between w:val="nil"/>
        </w:pBdr>
        <w:jc w:val="both"/>
        <w:rPr>
          <w:rFonts w:ascii="Arial" w:eastAsia="Arial" w:hAnsi="Arial" w:cs="Arial"/>
          <w:b/>
          <w:color w:val="002060"/>
        </w:rPr>
      </w:pPr>
      <w:r>
        <w:rPr>
          <w:rFonts w:ascii="Arial" w:eastAsia="Arial" w:hAnsi="Arial" w:cs="Arial"/>
          <w:b/>
          <w:color w:val="002060"/>
        </w:rPr>
        <w:t>Delimitación del problema público (descripción de la gravedad, alcance, magnitud, población afectada y urgencia).</w:t>
      </w:r>
    </w:p>
    <w:p w14:paraId="71D4B15B" w14:textId="77777777" w:rsidR="00B50826" w:rsidRDefault="00B50826">
      <w:pPr>
        <w:jc w:val="both"/>
        <w:rPr>
          <w:rFonts w:ascii="Arial" w:eastAsia="Arial" w:hAnsi="Arial" w:cs="Arial"/>
          <w:b/>
          <w:color w:val="002060"/>
        </w:rPr>
      </w:pPr>
    </w:p>
    <w:p w14:paraId="07A4E89F" w14:textId="77777777" w:rsidR="00B50826" w:rsidRDefault="00006AE2">
      <w:pPr>
        <w:jc w:val="both"/>
        <w:rPr>
          <w:rFonts w:ascii="Arial" w:eastAsia="Arial" w:hAnsi="Arial" w:cs="Arial"/>
          <w:color w:val="002060"/>
          <w:sz w:val="20"/>
          <w:szCs w:val="20"/>
        </w:rPr>
      </w:pPr>
      <w:bookmarkStart w:id="4" w:name="_heading=h.3znysh7" w:colFirst="0" w:colLast="0"/>
      <w:bookmarkEnd w:id="4"/>
      <w:r>
        <w:rPr>
          <w:rFonts w:ascii="Arial" w:eastAsia="Arial" w:hAnsi="Arial" w:cs="Arial"/>
          <w:color w:val="002060"/>
          <w:sz w:val="20"/>
          <w:szCs w:val="20"/>
        </w:rPr>
        <w:t xml:space="preserve">En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de la Región Huánuco se genera un alto índice de deforestación (319,123.77 has.), ocupando el cuarto lugar después de las regiones de San Martín, Loreto y Ucayali. A nivel nacional, la provincia que más a deforestado es Puerto Inca, en el periodo 2001 – 2018 ha deforestado 238,287.73 ha., cifra que representa el 74.76% (3/4) del total de la región; luego tenemos a la provincia de Leoncio Prado, con 9.97% (31,809.89 has) de deforestación regional, provincias donde se debe enfocar estrategias de intervención, dada la magnitud de este problema (84.64% deforestación regional), a fin de conservar los bosques aun existentes; sin embargo no debe descuidarse las otras provincias, dada la dinámica migratoria que se genera de población andina en busca de alternativas u oportunidades de desarrollo en la amazonia; de igual manera se deben priorizar la conservación de las cabeceras de cuencas conservarse, puesto que son prioridades para la conservación del recurso hídrico.</w:t>
      </w:r>
    </w:p>
    <w:p w14:paraId="5C7CD947" w14:textId="77777777" w:rsidR="00B50826" w:rsidRDefault="00B50826">
      <w:pPr>
        <w:jc w:val="both"/>
        <w:rPr>
          <w:rFonts w:ascii="Arial" w:eastAsia="Arial" w:hAnsi="Arial" w:cs="Arial"/>
          <w:color w:val="002060"/>
          <w:sz w:val="20"/>
          <w:szCs w:val="20"/>
        </w:rPr>
      </w:pPr>
    </w:p>
    <w:p w14:paraId="3CA85781"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La agricultura es la principal causa directa de la deforestación y es a la vez la principal actividad económica en la región, dinamizando la economía local, la misma que se desarrolla generalmente en suelos superficiales, cuya capacidad de uso mayor son de protección (40.14%), o forestal (29.90%)</w:t>
      </w:r>
      <w:r>
        <w:rPr>
          <w:rFonts w:ascii="Calibri" w:eastAsia="Calibri" w:hAnsi="Calibri" w:cs="Calibri"/>
          <w:color w:val="002060"/>
          <w:sz w:val="18"/>
          <w:szCs w:val="18"/>
          <w:vertAlign w:val="superscript"/>
        </w:rPr>
        <w:footnoteReference w:id="26"/>
      </w:r>
      <w:r>
        <w:rPr>
          <w:rFonts w:ascii="Arial" w:eastAsia="Arial" w:hAnsi="Arial" w:cs="Arial"/>
          <w:color w:val="002060"/>
          <w:sz w:val="20"/>
          <w:szCs w:val="20"/>
        </w:rPr>
        <w:t xml:space="preserve">; ello, sumado al manejo deficiente que realizan los agricultores, al no realizar labores culturales sostenibles, puesto que no realizan manejo adecuado de suelos, aceleran la pérdida de la fertilidad, llegando incluso a su degradación; en consecuencia se reduce significativamente la productividad y rentabilidad de los cultivos y, ante la “disponibilidad de bosque”, “débil control y vigilancia”, escasa presencia del estado, demanda de productos, entre otras causas, los agricultores invaden fácilmente el bosque para la instalación de nuevos cultivos. </w:t>
      </w:r>
    </w:p>
    <w:p w14:paraId="2131BA1F" w14:textId="77777777" w:rsidR="00B50826" w:rsidRDefault="00B50826">
      <w:pPr>
        <w:jc w:val="both"/>
        <w:rPr>
          <w:rFonts w:ascii="Arial" w:eastAsia="Arial" w:hAnsi="Arial" w:cs="Arial"/>
          <w:color w:val="002060"/>
          <w:sz w:val="20"/>
          <w:szCs w:val="20"/>
        </w:rPr>
      </w:pPr>
    </w:p>
    <w:p w14:paraId="0BBDEAF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 deforestación tiene una tendencia creciente y un comportamiento similar en todas las tipologías de bosque de la región, ésta se realiza principalmente en “Bosque de libre disponibilidad del estado”, “Bosque de Producción Permanente - BPP”, en “predios rurales” y en Comunidades nativas; los principales actores son pequeños y medianos productores locales o migrantes de otras regiones o de la parte andina de esta región, quienes ven a los terrenos del  bosque una oportunidad de desarrollo; siendo las provincias de Puerto Inca, Leoncio Prado, Marañón y Pachitea las </w:t>
      </w:r>
      <w:proofErr w:type="spellStart"/>
      <w:r>
        <w:rPr>
          <w:rFonts w:ascii="Arial" w:eastAsia="Arial" w:hAnsi="Arial" w:cs="Arial"/>
          <w:color w:val="002060"/>
          <w:sz w:val="20"/>
          <w:szCs w:val="20"/>
        </w:rPr>
        <w:t>mas</w:t>
      </w:r>
      <w:proofErr w:type="spellEnd"/>
      <w:r>
        <w:rPr>
          <w:rFonts w:ascii="Arial" w:eastAsia="Arial" w:hAnsi="Arial" w:cs="Arial"/>
          <w:color w:val="002060"/>
          <w:sz w:val="20"/>
          <w:szCs w:val="20"/>
        </w:rPr>
        <w:t xml:space="preserve"> deforestadas. </w:t>
      </w:r>
    </w:p>
    <w:p w14:paraId="0FEBC5F3" w14:textId="77777777" w:rsidR="00B50826" w:rsidRDefault="00B50826">
      <w:pPr>
        <w:jc w:val="both"/>
        <w:rPr>
          <w:rFonts w:ascii="Arial" w:eastAsia="Arial" w:hAnsi="Arial" w:cs="Arial"/>
          <w:color w:val="002060"/>
          <w:sz w:val="20"/>
          <w:szCs w:val="20"/>
        </w:rPr>
      </w:pPr>
    </w:p>
    <w:p w14:paraId="6315A1F0"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Otras causas directas de deforestación son los cultivos ilegales, pobladores locales que por lo general invaden el bosque de libre disponibilidad del estado o Bosques de Producción Permanente - BPP, para la instalación del cultivo de coca; también tenemos la apertura de carreteras, las mismas </w:t>
      </w:r>
      <w:r>
        <w:rPr>
          <w:rFonts w:ascii="Arial" w:eastAsia="Arial" w:hAnsi="Arial" w:cs="Arial"/>
          <w:color w:val="002060"/>
          <w:sz w:val="20"/>
          <w:szCs w:val="20"/>
        </w:rPr>
        <w:lastRenderedPageBreak/>
        <w:t xml:space="preserve">que son causas directas (por el proceso de deforestación para su construcción) y causa indirecta por generar mejores condiciones para el ingreso de la población y deforestar ambos lados de la carretera, ello por el inexistente o débil vigilancia o control del estado. Otra de las causas directas son los centros poblados, que vienen hacer los asentamientos, donde tienen sus casas los productores rurales. </w:t>
      </w:r>
    </w:p>
    <w:p w14:paraId="4FF269E6"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 </w:t>
      </w:r>
    </w:p>
    <w:p w14:paraId="21D5841C"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cuanto a la degradación de los bosques, ésta es generada por las concesionarios forestales, quienes en su mayoría no cumplen con los lineamientos planteados en los expedientes técnicos aprobados, este incumplimiento se explica por escasa o nula supervisión, sumado a la corrupción existente; también existe extracción de madera ilegal, es decir sin ningún tipo de permiso, la madera obtenida generalmente es transportada por río a Pucallpa (Región Ucayali), donde es “lavada” y, es comercializada como si se hubiese obtenido en concesiones forestales de esa región.</w:t>
      </w:r>
    </w:p>
    <w:p w14:paraId="1739DAB3" w14:textId="77777777" w:rsidR="00B50826" w:rsidRDefault="00B50826">
      <w:pPr>
        <w:jc w:val="both"/>
        <w:rPr>
          <w:rFonts w:ascii="Arial" w:eastAsia="Arial" w:hAnsi="Arial" w:cs="Arial"/>
          <w:color w:val="002060"/>
          <w:sz w:val="20"/>
          <w:szCs w:val="20"/>
        </w:rPr>
      </w:pPr>
    </w:p>
    <w:p w14:paraId="2187C52B"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Esta información es relevante porque nos permitirá lograr mayor eficiencia en el </w:t>
      </w:r>
      <w:proofErr w:type="gramStart"/>
      <w:r>
        <w:rPr>
          <w:rFonts w:ascii="Arial" w:eastAsia="Arial" w:hAnsi="Arial" w:cs="Arial"/>
          <w:color w:val="002060"/>
          <w:sz w:val="20"/>
          <w:szCs w:val="20"/>
        </w:rPr>
        <w:t>planteamiento  de</w:t>
      </w:r>
      <w:proofErr w:type="gramEnd"/>
      <w:r>
        <w:rPr>
          <w:rFonts w:ascii="Arial" w:eastAsia="Arial" w:hAnsi="Arial" w:cs="Arial"/>
          <w:color w:val="002060"/>
          <w:sz w:val="20"/>
          <w:szCs w:val="20"/>
        </w:rPr>
        <w:t xml:space="preserve"> las estrategias de intervención. </w:t>
      </w:r>
    </w:p>
    <w:p w14:paraId="70A3C8AD" w14:textId="77777777" w:rsidR="00B50826" w:rsidRDefault="00B50826">
      <w:pPr>
        <w:jc w:val="both"/>
        <w:rPr>
          <w:rFonts w:ascii="Arial" w:eastAsia="Arial" w:hAnsi="Arial" w:cs="Arial"/>
          <w:color w:val="002060"/>
          <w:sz w:val="20"/>
          <w:szCs w:val="20"/>
        </w:rPr>
      </w:pPr>
    </w:p>
    <w:p w14:paraId="56568EAE" w14:textId="77777777" w:rsidR="00B50826" w:rsidRDefault="00006AE2">
      <w:pPr>
        <w:spacing w:after="240"/>
        <w:jc w:val="both"/>
        <w:rPr>
          <w:rFonts w:ascii="Arial" w:eastAsia="Arial" w:hAnsi="Arial" w:cs="Arial"/>
          <w:b/>
          <w:color w:val="002060"/>
          <w:sz w:val="20"/>
          <w:szCs w:val="20"/>
        </w:rPr>
      </w:pPr>
      <w:bookmarkStart w:id="5" w:name="_heading=h.2et92p0" w:colFirst="0" w:colLast="0"/>
      <w:bookmarkEnd w:id="5"/>
      <w:r>
        <w:rPr>
          <w:rFonts w:ascii="Arial" w:eastAsia="Arial" w:hAnsi="Arial" w:cs="Arial"/>
          <w:b/>
          <w:color w:val="002060"/>
          <w:sz w:val="20"/>
          <w:szCs w:val="20"/>
        </w:rPr>
        <w:t>Puerto Inca.</w:t>
      </w:r>
    </w:p>
    <w:p w14:paraId="51AC9089" w14:textId="77777777" w:rsidR="00B50826" w:rsidRDefault="00006AE2">
      <w:pPr>
        <w:spacing w:after="240"/>
        <w:jc w:val="both"/>
        <w:rPr>
          <w:rFonts w:ascii="Arial" w:eastAsia="Arial" w:hAnsi="Arial" w:cs="Arial"/>
          <w:color w:val="002060"/>
          <w:sz w:val="20"/>
          <w:szCs w:val="20"/>
          <w:highlight w:val="yellow"/>
        </w:rPr>
      </w:pPr>
      <w:r>
        <w:rPr>
          <w:rFonts w:ascii="Arial" w:eastAsia="Arial" w:hAnsi="Arial" w:cs="Arial"/>
          <w:color w:val="002060"/>
          <w:sz w:val="20"/>
          <w:szCs w:val="20"/>
        </w:rPr>
        <w:t xml:space="preserve">En esta provincia </w:t>
      </w:r>
      <w:proofErr w:type="gramStart"/>
      <w:r>
        <w:rPr>
          <w:rFonts w:ascii="Arial" w:eastAsia="Arial" w:hAnsi="Arial" w:cs="Arial"/>
          <w:color w:val="002060"/>
          <w:sz w:val="20"/>
          <w:szCs w:val="20"/>
        </w:rPr>
        <w:t>se  ha</w:t>
      </w:r>
      <w:proofErr w:type="gramEnd"/>
      <w:r>
        <w:rPr>
          <w:rFonts w:ascii="Arial" w:eastAsia="Arial" w:hAnsi="Arial" w:cs="Arial"/>
          <w:color w:val="002060"/>
          <w:sz w:val="20"/>
          <w:szCs w:val="20"/>
        </w:rPr>
        <w:t xml:space="preserve"> deforestado el 74.7%, de la región en el periodo 2001 – 2018; prácticamente ha definido el comportamiento de deforestación en la región; es así que las tipologías de bosque más deforestadas son: Bosque de libre disponibilidad del estado, Bosque de Producción Permanente, predios rurales, y terrenos de las comunidades nativas; tal como se observa en el siguiente gráfico:</w:t>
      </w:r>
      <w:r>
        <w:rPr>
          <w:rFonts w:ascii="Arial" w:eastAsia="Arial" w:hAnsi="Arial" w:cs="Arial"/>
          <w:color w:val="002060"/>
          <w:sz w:val="20"/>
          <w:szCs w:val="20"/>
          <w:highlight w:val="yellow"/>
        </w:rPr>
        <w:t xml:space="preserve"> </w:t>
      </w:r>
    </w:p>
    <w:p w14:paraId="6431C41D" w14:textId="77777777" w:rsidR="00B50826" w:rsidRDefault="00006AE2">
      <w:pPr>
        <w:spacing w:after="240"/>
        <w:jc w:val="both"/>
        <w:rPr>
          <w:rFonts w:ascii="Arial" w:eastAsia="Arial" w:hAnsi="Arial" w:cs="Arial"/>
          <w:color w:val="002060"/>
          <w:sz w:val="20"/>
          <w:szCs w:val="20"/>
          <w:highlight w:val="yellow"/>
        </w:rPr>
      </w:pPr>
      <w:r>
        <w:rPr>
          <w:noProof/>
        </w:rPr>
        <w:drawing>
          <wp:inline distT="0" distB="0" distL="0" distR="0" wp14:anchorId="47C1AC93" wp14:editId="6C064BEE">
            <wp:extent cx="5400040" cy="2505075"/>
            <wp:effectExtent l="0" t="0" r="0" b="0"/>
            <wp:docPr id="213" name="Gráfico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3D7F66"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En el gráfico precedente se puede observar una tendencia creciente de deforestación en las cuatro tipologías, antes mencionadas, sin embargo en las comunidades nativas vemos que a partir del año 2009, este proceso de deforestación se ha incrementado significativamente; explicado por la presencia de programas de desarrollo alternativo para la siembra de cacao, o de otros proyectos para la siembra de achiote, en otros casos las comunidades nativas alquilan sus bosques para la siembra de papaya; otros actores de la deforestación relevantes son los invasores ya sea para la siembra de cultivos o para la extracción de oro de manera artesanal e ilegal; deforestación que amenaza la supervivencia de las propias comunidades que habitan en esta provincia. Las otras tipologías como concesiones mineras, comunidades campesinas, áreas naturales protegidas también tienen un proceso de deforestación creciente, pero en menor escala.</w:t>
      </w:r>
    </w:p>
    <w:p w14:paraId="264D575B"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 xml:space="preserve">Como sucede a nivel nacional y regional, los principales actores de deforestación son los pequeños o medianos productores locales, también los migrantes de otras regiones o población andina de la esta región, quienes desconocen el manejo sostenible del bosque, para aprovechar sus potencialidades de manera adecuada; deforestando el bosque para la instalación de cultivos como pasto </w:t>
      </w:r>
      <w:proofErr w:type="spellStart"/>
      <w:r>
        <w:rPr>
          <w:rFonts w:ascii="Arial" w:eastAsia="Arial" w:hAnsi="Arial" w:cs="Arial"/>
          <w:color w:val="002060"/>
          <w:sz w:val="20"/>
          <w:szCs w:val="20"/>
        </w:rPr>
        <w:t>braquiaria</w:t>
      </w:r>
      <w:proofErr w:type="spellEnd"/>
      <w:r>
        <w:rPr>
          <w:rFonts w:ascii="Arial" w:eastAsia="Arial" w:hAnsi="Arial" w:cs="Arial"/>
          <w:color w:val="002060"/>
          <w:sz w:val="20"/>
          <w:szCs w:val="20"/>
        </w:rPr>
        <w:t>, maíz, cacao, plátano, achiote, palma aceitera, etc. estos productores aplican tecnologías incipientes y su productividad es baja, prácticamente no cuantifican la mano familiar que emplean, no tienen un enfoque empresarial.</w:t>
      </w:r>
    </w:p>
    <w:p w14:paraId="001CF5BC"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lastRenderedPageBreak/>
        <w:t xml:space="preserve">También tenemos los grandes ganaderos, ubicados generalmente en el distrito de Codo del Pozuzo, quienes emplean tecnología media, grandes extensiones de pastos, manejan pastos mejorados y deforestan grandes áreas para incrementar su ganadería; sin embargo aún tienen ciertas limitaciones técnicas, como por ejemplo baja capacidad de carga animal por hectárea de pastos, bajo rendimiento de producción de carne por ejemplar. A nivel regional y provincial la siembra de pastos </w:t>
      </w:r>
      <w:proofErr w:type="spellStart"/>
      <w:r>
        <w:rPr>
          <w:rFonts w:ascii="Arial" w:eastAsia="Arial" w:hAnsi="Arial" w:cs="Arial"/>
          <w:color w:val="002060"/>
          <w:sz w:val="20"/>
          <w:szCs w:val="20"/>
        </w:rPr>
        <w:t>braquiaria</w:t>
      </w:r>
      <w:proofErr w:type="spellEnd"/>
      <w:r>
        <w:rPr>
          <w:rFonts w:ascii="Arial" w:eastAsia="Arial" w:hAnsi="Arial" w:cs="Arial"/>
          <w:color w:val="002060"/>
          <w:sz w:val="20"/>
          <w:szCs w:val="20"/>
        </w:rPr>
        <w:t xml:space="preserve"> es predominante y por ende deforestador para su expansión.</w:t>
      </w:r>
    </w:p>
    <w:p w14:paraId="720BDF32"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Cabe resaltar que el distrito de la provincia que más ha deforestado es Yuyapichis ocupando el primer lugar con 61,944.35 ha, seguido del distrito de Codo del Pozuzo con 55,877.34 ha, continuando el distrito de Tournavista con 51,540.58 ha, luego el distrito de Puerto Inca con 49,857.51 ha, para finalmente ubicarse en el quinto lugar el distrito de Honoria con 19,067.42 ha. explotación que ha excedido el límite de crecimiento natural del propio bosque, poniendo en peligro la biodiversidad existente en los ecosistemas.</w:t>
      </w:r>
    </w:p>
    <w:p w14:paraId="4C7E8052" w14:textId="77777777" w:rsidR="00B50826" w:rsidRDefault="00006AE2">
      <w:pPr>
        <w:spacing w:after="240"/>
        <w:jc w:val="both"/>
        <w:rPr>
          <w:rFonts w:ascii="Arial" w:eastAsia="Arial" w:hAnsi="Arial" w:cs="Arial"/>
          <w:b/>
          <w:color w:val="002060"/>
          <w:sz w:val="20"/>
          <w:szCs w:val="20"/>
        </w:rPr>
      </w:pPr>
      <w:r>
        <w:rPr>
          <w:rFonts w:ascii="Arial" w:eastAsia="Arial" w:hAnsi="Arial" w:cs="Arial"/>
          <w:b/>
          <w:color w:val="002060"/>
          <w:sz w:val="20"/>
          <w:szCs w:val="20"/>
        </w:rPr>
        <w:t>Provincia de Leoncio Prado.</w:t>
      </w:r>
    </w:p>
    <w:p w14:paraId="2C0D9518"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Es la segunda provincia a nivel regional donde más se ha deforestado, principalmente en zonas de Bosques de Protección Permanente - BPP, porque involucran gran número de posesionarios en predios rurales (incluso centros poblados), productores quienes vienen desarrollando la agricultura desde décadas pasadas y muchos de ellos vienen incrementando áreas de cultivos en el bosque; es importante señalar que desde la creación de esta tipología de bosque – BPP, en el año 2002</w:t>
      </w:r>
      <w:r>
        <w:rPr>
          <w:rFonts w:ascii="Arial" w:eastAsia="Arial" w:hAnsi="Arial" w:cs="Arial"/>
          <w:color w:val="002060"/>
          <w:sz w:val="20"/>
          <w:szCs w:val="20"/>
          <w:vertAlign w:val="superscript"/>
        </w:rPr>
        <w:footnoteReference w:id="27"/>
      </w:r>
      <w:r>
        <w:rPr>
          <w:rFonts w:ascii="Arial" w:eastAsia="Arial" w:hAnsi="Arial" w:cs="Arial"/>
          <w:color w:val="002060"/>
          <w:sz w:val="20"/>
          <w:szCs w:val="20"/>
        </w:rPr>
        <w:t>, ha sido muy limitada la gobernanza al interior de los mismos, dada las limitaciones legales y presupuestales para intervenir en éstas zonas por los gobiernos locales o gobierno regional y, considerando que los predios existentes en estos ecosistemas no están titulados, los productores existentes o migrantes deforestan libremente para la expansión agrícola. Esta deforestación también se realiza en bosques de libre disponibilidad del estado y en los predios rurales.</w:t>
      </w:r>
    </w:p>
    <w:p w14:paraId="201D8240"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Los principales actores en la deforestación son los pequeños y medianos productores dedicados a la producción de café, cacao, plátano, maíz amarillo duro, arroz, palma aceitera, así como también al cultivo ilícito de coca.</w:t>
      </w:r>
    </w:p>
    <w:p w14:paraId="271AA47F" w14:textId="77777777" w:rsidR="00B50826" w:rsidRDefault="00006AE2">
      <w:pPr>
        <w:spacing w:after="240"/>
        <w:jc w:val="both"/>
        <w:rPr>
          <w:rFonts w:ascii="Arial" w:eastAsia="Arial" w:hAnsi="Arial" w:cs="Arial"/>
          <w:color w:val="002060"/>
          <w:sz w:val="20"/>
          <w:szCs w:val="20"/>
          <w:highlight w:val="yellow"/>
        </w:rPr>
      </w:pPr>
      <w:r>
        <w:rPr>
          <w:noProof/>
        </w:rPr>
        <w:drawing>
          <wp:inline distT="0" distB="0" distL="0" distR="0" wp14:anchorId="489BE312" wp14:editId="1F62FBE3">
            <wp:extent cx="5400040" cy="2082165"/>
            <wp:effectExtent l="0" t="0" r="0" b="0"/>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256E6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Toda esta dinámica de deforestación en el ámbito amazónico generada por el hombre para desarrollar actividades agropecuarias se inicia con la tala y quema del bosque, luego siembra sin criterios técnicos de sostenibilidad, tampoco realizan fertilización ni manejo de suelos, por lo tanto los cultivos no producen, en consecuencia se incrementa la pobreza en los agricultores. </w:t>
      </w:r>
    </w:p>
    <w:p w14:paraId="6B09768D" w14:textId="77777777" w:rsidR="00D029B1" w:rsidRDefault="00D029B1">
      <w:pPr>
        <w:spacing w:after="240"/>
        <w:jc w:val="both"/>
        <w:rPr>
          <w:rFonts w:ascii="Arial" w:eastAsia="Arial" w:hAnsi="Arial" w:cs="Arial"/>
          <w:color w:val="002060"/>
          <w:sz w:val="20"/>
          <w:szCs w:val="20"/>
        </w:rPr>
      </w:pPr>
    </w:p>
    <w:p w14:paraId="6515F934"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 xml:space="preserve">El distrito </w:t>
      </w:r>
      <w:proofErr w:type="gramStart"/>
      <w:r>
        <w:rPr>
          <w:rFonts w:ascii="Arial" w:eastAsia="Arial" w:hAnsi="Arial" w:cs="Arial"/>
          <w:color w:val="002060"/>
          <w:sz w:val="20"/>
          <w:szCs w:val="20"/>
        </w:rPr>
        <w:t>de  José</w:t>
      </w:r>
      <w:proofErr w:type="gramEnd"/>
      <w:r>
        <w:rPr>
          <w:rFonts w:ascii="Arial" w:eastAsia="Arial" w:hAnsi="Arial" w:cs="Arial"/>
          <w:color w:val="002060"/>
          <w:sz w:val="20"/>
          <w:szCs w:val="20"/>
        </w:rPr>
        <w:t xml:space="preserve"> Crespo y Castillo (Aucayacu) ocupa el primer lugar en deforestación con 7,9998 ha, seguida del distrito de Daniel </w:t>
      </w:r>
      <w:proofErr w:type="spellStart"/>
      <w:r>
        <w:rPr>
          <w:rFonts w:ascii="Arial" w:eastAsia="Arial" w:hAnsi="Arial" w:cs="Arial"/>
          <w:color w:val="002060"/>
          <w:sz w:val="20"/>
          <w:szCs w:val="20"/>
        </w:rPr>
        <w:t>Alomia</w:t>
      </w:r>
      <w:proofErr w:type="spellEnd"/>
      <w:r>
        <w:rPr>
          <w:rFonts w:ascii="Arial" w:eastAsia="Arial" w:hAnsi="Arial" w:cs="Arial"/>
          <w:color w:val="002060"/>
          <w:sz w:val="20"/>
          <w:szCs w:val="20"/>
        </w:rPr>
        <w:t xml:space="preserve"> Robles (</w:t>
      </w:r>
      <w:proofErr w:type="spellStart"/>
      <w:r>
        <w:rPr>
          <w:rFonts w:ascii="Arial" w:eastAsia="Arial" w:hAnsi="Arial" w:cs="Arial"/>
          <w:color w:val="002060"/>
          <w:sz w:val="20"/>
          <w:szCs w:val="20"/>
        </w:rPr>
        <w:t>Pumahuasi</w:t>
      </w:r>
      <w:proofErr w:type="spellEnd"/>
      <w:r>
        <w:rPr>
          <w:rFonts w:ascii="Arial" w:eastAsia="Arial" w:hAnsi="Arial" w:cs="Arial"/>
          <w:color w:val="002060"/>
          <w:sz w:val="20"/>
          <w:szCs w:val="20"/>
        </w:rPr>
        <w:t xml:space="preserve">) con 7,079 ha, continuando el distrito de Mariano Dámaso Beraun (Las Palmas) con 6,527 ha, luego el distrito de </w:t>
      </w:r>
      <w:proofErr w:type="spellStart"/>
      <w:r>
        <w:rPr>
          <w:rFonts w:ascii="Arial" w:eastAsia="Arial" w:hAnsi="Arial" w:cs="Arial"/>
          <w:color w:val="002060"/>
          <w:sz w:val="20"/>
          <w:szCs w:val="20"/>
        </w:rPr>
        <w:t>Rupa</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Rupa</w:t>
      </w:r>
      <w:proofErr w:type="spellEnd"/>
      <w:r>
        <w:rPr>
          <w:rFonts w:ascii="Arial" w:eastAsia="Arial" w:hAnsi="Arial" w:cs="Arial"/>
          <w:color w:val="002060"/>
          <w:sz w:val="20"/>
          <w:szCs w:val="20"/>
        </w:rPr>
        <w:t xml:space="preserve"> (Tingo María) con 3,073 ha, seguida del distrito de Hermilio </w:t>
      </w:r>
      <w:proofErr w:type="spellStart"/>
      <w:r>
        <w:rPr>
          <w:rFonts w:ascii="Arial" w:eastAsia="Arial" w:hAnsi="Arial" w:cs="Arial"/>
          <w:color w:val="002060"/>
          <w:sz w:val="20"/>
          <w:szCs w:val="20"/>
        </w:rPr>
        <w:t>Valdizan</w:t>
      </w:r>
      <w:proofErr w:type="spellEnd"/>
      <w:r>
        <w:rPr>
          <w:rFonts w:ascii="Arial" w:eastAsia="Arial" w:hAnsi="Arial" w:cs="Arial"/>
          <w:color w:val="002060"/>
          <w:sz w:val="20"/>
          <w:szCs w:val="20"/>
        </w:rPr>
        <w:t xml:space="preserve"> con 1,836 ha, para finalmente ubicarse en el </w:t>
      </w:r>
      <w:r>
        <w:rPr>
          <w:rFonts w:ascii="Arial" w:eastAsia="Arial" w:hAnsi="Arial" w:cs="Arial"/>
          <w:color w:val="002060"/>
          <w:sz w:val="20"/>
          <w:szCs w:val="20"/>
        </w:rPr>
        <w:lastRenderedPageBreak/>
        <w:t xml:space="preserve">sexto lugar el distrito de Padre Felipe </w:t>
      </w:r>
      <w:proofErr w:type="spellStart"/>
      <w:r>
        <w:rPr>
          <w:rFonts w:ascii="Arial" w:eastAsia="Arial" w:hAnsi="Arial" w:cs="Arial"/>
          <w:color w:val="002060"/>
          <w:sz w:val="20"/>
          <w:szCs w:val="20"/>
        </w:rPr>
        <w:t>Luyando</w:t>
      </w:r>
      <w:proofErr w:type="spellEnd"/>
      <w:r>
        <w:rPr>
          <w:rFonts w:ascii="Arial" w:eastAsia="Arial" w:hAnsi="Arial" w:cs="Arial"/>
          <w:color w:val="002060"/>
          <w:sz w:val="20"/>
          <w:szCs w:val="20"/>
        </w:rPr>
        <w:t xml:space="preserve"> (Naranjillo) con 460 ha. Explotación que también ha excedido el límite de crecimiento natural del propio bosque, poniendo en peligro la biodiversidad.</w:t>
      </w:r>
    </w:p>
    <w:p w14:paraId="17063502" w14:textId="77777777" w:rsidR="00B50826" w:rsidRDefault="00006AE2">
      <w:pPr>
        <w:numPr>
          <w:ilvl w:val="0"/>
          <w:numId w:val="18"/>
        </w:numPr>
        <w:pBdr>
          <w:top w:val="nil"/>
          <w:left w:val="nil"/>
          <w:bottom w:val="nil"/>
          <w:right w:val="nil"/>
          <w:between w:val="nil"/>
        </w:pBdr>
        <w:ind w:left="0" w:hanging="284"/>
        <w:rPr>
          <w:rFonts w:ascii="Arial" w:eastAsia="Arial" w:hAnsi="Arial" w:cs="Arial"/>
          <w:color w:val="002060"/>
        </w:rPr>
      </w:pPr>
      <w:r>
        <w:rPr>
          <w:rFonts w:ascii="Arial" w:eastAsia="Arial" w:hAnsi="Arial" w:cs="Arial"/>
          <w:b/>
          <w:color w:val="002060"/>
        </w:rPr>
        <w:t xml:space="preserve">Análisis de causas de deforestación. </w:t>
      </w:r>
    </w:p>
    <w:p w14:paraId="642C3D87" w14:textId="77777777" w:rsidR="00B50826" w:rsidRDefault="00B50826">
      <w:pPr>
        <w:rPr>
          <w:rFonts w:ascii="Arial" w:eastAsia="Arial" w:hAnsi="Arial" w:cs="Arial"/>
          <w:color w:val="002060"/>
          <w:sz w:val="22"/>
          <w:szCs w:val="22"/>
        </w:rPr>
      </w:pPr>
    </w:p>
    <w:p w14:paraId="10415FE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Para este estudio se ha empleado la Metodología </w:t>
      </w:r>
      <w:proofErr w:type="spellStart"/>
      <w:r>
        <w:rPr>
          <w:rFonts w:ascii="Arial" w:eastAsia="Arial" w:hAnsi="Arial" w:cs="Arial"/>
          <w:color w:val="002060"/>
          <w:sz w:val="20"/>
          <w:szCs w:val="20"/>
        </w:rPr>
        <w:t>DriveNet</w:t>
      </w:r>
      <w:proofErr w:type="spellEnd"/>
      <w:r>
        <w:rPr>
          <w:rFonts w:ascii="Arial" w:eastAsia="Arial" w:hAnsi="Arial" w:cs="Arial"/>
          <w:color w:val="002060"/>
          <w:sz w:val="20"/>
          <w:szCs w:val="20"/>
        </w:rPr>
        <w:t xml:space="preserve">, que ha permitido determinar los mecanismos causales en la pérdida de bosques a nivel de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de la región, identificándose en total 40 causas de deforestación: existiendo 10 causas directas (Cultivos y Carreteras) y 30 causas indirectas (Factores Económicos, Factores Institucionales y Políticos), relacionadas a:</w:t>
      </w:r>
    </w:p>
    <w:p w14:paraId="3708DE0F" w14:textId="77777777" w:rsidR="00B50826" w:rsidRDefault="00B50826">
      <w:pPr>
        <w:jc w:val="both"/>
        <w:rPr>
          <w:rFonts w:ascii="Arial" w:eastAsia="Arial" w:hAnsi="Arial" w:cs="Arial"/>
          <w:b/>
          <w:color w:val="002060"/>
          <w:sz w:val="20"/>
          <w:szCs w:val="20"/>
        </w:rPr>
      </w:pPr>
    </w:p>
    <w:p w14:paraId="6A3BC7AE" w14:textId="77777777" w:rsidR="00B50826" w:rsidRDefault="00006AE2">
      <w:pPr>
        <w:numPr>
          <w:ilvl w:val="0"/>
          <w:numId w:val="11"/>
        </w:num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b/>
          <w:color w:val="002060"/>
          <w:sz w:val="20"/>
          <w:szCs w:val="20"/>
        </w:rPr>
        <w:t xml:space="preserve">Actividades Agropecuarias: </w:t>
      </w:r>
      <w:r>
        <w:rPr>
          <w:rFonts w:ascii="Arial" w:eastAsia="Arial" w:hAnsi="Arial" w:cs="Arial"/>
          <w:color w:val="002060"/>
          <w:sz w:val="20"/>
          <w:szCs w:val="20"/>
        </w:rPr>
        <w:t>son las principales cambios identificados en la conversión del bosque corresponden principalmente a la apertura y/o ampliación de la superficie de cultivos como pastos, café, cacao, plátano, palma aceitera, arroz, maíz, papaya, piña y el cultivo ilícito de  coca; en los  y pastos en selva baja y alta; así como la instalación de cultivos permanentes en el Bosque Montano Carpish, cultivos estables como la granadilla, durazno y aguaymanto y, cultivos anuales como hortensias y rocoto.</w:t>
      </w:r>
    </w:p>
    <w:p w14:paraId="12683D13" w14:textId="77777777" w:rsidR="00B50826" w:rsidRDefault="00006AE2">
      <w:pPr>
        <w:numPr>
          <w:ilvl w:val="0"/>
          <w:numId w:val="11"/>
        </w:num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b/>
          <w:color w:val="002060"/>
          <w:sz w:val="20"/>
          <w:szCs w:val="20"/>
        </w:rPr>
        <w:t>Infraestructura:</w:t>
      </w:r>
      <w:r>
        <w:rPr>
          <w:rFonts w:ascii="Arial" w:eastAsia="Arial" w:hAnsi="Arial" w:cs="Arial"/>
          <w:color w:val="002060"/>
          <w:sz w:val="20"/>
          <w:szCs w:val="20"/>
        </w:rPr>
        <w:t xml:space="preserve"> Vías y Carreteras, trochas.</w:t>
      </w:r>
    </w:p>
    <w:p w14:paraId="43FBB3BB" w14:textId="77777777" w:rsidR="00B50826" w:rsidRDefault="00006AE2">
      <w:pPr>
        <w:numPr>
          <w:ilvl w:val="0"/>
          <w:numId w:val="11"/>
        </w:num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b/>
          <w:color w:val="002060"/>
          <w:sz w:val="20"/>
          <w:szCs w:val="20"/>
        </w:rPr>
        <w:t xml:space="preserve">Factores económicos: </w:t>
      </w:r>
      <w:r>
        <w:rPr>
          <w:rFonts w:ascii="Arial" w:eastAsia="Arial" w:hAnsi="Arial" w:cs="Arial"/>
          <w:color w:val="002060"/>
          <w:sz w:val="20"/>
          <w:szCs w:val="20"/>
        </w:rPr>
        <w:t>Precio, mercado interno, mercado nacional, mercado Internacional y acceso al crédito</w:t>
      </w:r>
    </w:p>
    <w:p w14:paraId="2A2ADEC2" w14:textId="77777777" w:rsidR="00B50826" w:rsidRDefault="00006AE2">
      <w:pPr>
        <w:numPr>
          <w:ilvl w:val="0"/>
          <w:numId w:val="11"/>
        </w:num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b/>
          <w:color w:val="002060"/>
          <w:sz w:val="20"/>
          <w:szCs w:val="20"/>
        </w:rPr>
        <w:t>Factores Institucionales y Políticos:</w:t>
      </w:r>
      <w:r>
        <w:rPr>
          <w:rFonts w:ascii="Arial" w:eastAsia="Arial" w:hAnsi="Arial" w:cs="Arial"/>
          <w:color w:val="002060"/>
          <w:sz w:val="20"/>
          <w:szCs w:val="20"/>
        </w:rPr>
        <w:t xml:space="preserve"> Programas de promoción, herramientas de gobernanza, articulación transectorial, políticas de titulación y formalización (de predios y otras categorías).</w:t>
      </w:r>
    </w:p>
    <w:p w14:paraId="49B07970" w14:textId="77777777" w:rsidR="00B50826" w:rsidRDefault="00B50826">
      <w:pPr>
        <w:ind w:left="360"/>
        <w:jc w:val="both"/>
        <w:rPr>
          <w:rFonts w:ascii="Arial" w:eastAsia="Arial" w:hAnsi="Arial" w:cs="Arial"/>
          <w:color w:val="002060"/>
          <w:sz w:val="20"/>
          <w:szCs w:val="20"/>
        </w:rPr>
      </w:pPr>
    </w:p>
    <w:p w14:paraId="122FAA0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Las causas directas e indirectas de estos procesos de deforestación, son complejos e interactúan entre sí; de igual manera la intensidad de las mismas varía en las provincias y/o distritos, por lo que las medidas para hacerles frente son igualmente diversas y complejas. </w:t>
      </w:r>
    </w:p>
    <w:p w14:paraId="499AE7C5" w14:textId="77777777" w:rsidR="00B50826" w:rsidRDefault="00B50826">
      <w:pPr>
        <w:jc w:val="both"/>
        <w:rPr>
          <w:rFonts w:ascii="Arial" w:eastAsia="Arial" w:hAnsi="Arial" w:cs="Arial"/>
          <w:color w:val="002060"/>
          <w:sz w:val="20"/>
          <w:szCs w:val="20"/>
        </w:rPr>
      </w:pPr>
    </w:p>
    <w:p w14:paraId="56BA5BD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la región y a nivel de todas sus provincias, los actores vinculados a los cambios de uso de la tierra son principalmente los pequeños y medianos productores naturales de la región (de zona andina a selva alta y baja) y otro gran numero provenientes de regiones vecinas como Ucayali, San Martin y Cajamarca; también deforestan pequeños y medianos empresarios, relacionados principalmente a la actividad ganadera.</w:t>
      </w:r>
    </w:p>
    <w:p w14:paraId="46630B52" w14:textId="77777777" w:rsidR="00B50826" w:rsidRDefault="00B50826">
      <w:pPr>
        <w:jc w:val="both"/>
        <w:rPr>
          <w:rFonts w:ascii="Arial" w:eastAsia="Arial" w:hAnsi="Arial" w:cs="Arial"/>
          <w:color w:val="002060"/>
          <w:sz w:val="20"/>
          <w:szCs w:val="20"/>
        </w:rPr>
      </w:pPr>
    </w:p>
    <w:p w14:paraId="60B6210E" w14:textId="77777777" w:rsidR="00B50826" w:rsidRDefault="00006AE2">
      <w:pPr>
        <w:jc w:val="both"/>
        <w:rPr>
          <w:rFonts w:ascii="Arial" w:eastAsia="Arial" w:hAnsi="Arial" w:cs="Arial"/>
          <w:b/>
          <w:color w:val="002060"/>
          <w:sz w:val="20"/>
          <w:szCs w:val="20"/>
        </w:rPr>
      </w:pPr>
      <w:r>
        <w:rPr>
          <w:rFonts w:ascii="Arial" w:eastAsia="Arial" w:hAnsi="Arial" w:cs="Arial"/>
          <w:color w:val="002060"/>
          <w:sz w:val="20"/>
          <w:szCs w:val="20"/>
        </w:rPr>
        <w:t>En el siguiente gráfico se visualizan las causas más influyentes a nivel regional.</w:t>
      </w:r>
    </w:p>
    <w:p w14:paraId="461EEEE0" w14:textId="77777777" w:rsidR="00B50826" w:rsidRDefault="00B50826">
      <w:pPr>
        <w:jc w:val="both"/>
        <w:rPr>
          <w:rFonts w:ascii="Arial" w:eastAsia="Arial" w:hAnsi="Arial" w:cs="Arial"/>
          <w:color w:val="002060"/>
          <w:sz w:val="20"/>
          <w:szCs w:val="20"/>
        </w:rPr>
      </w:pPr>
    </w:p>
    <w:p w14:paraId="2BBEEA95"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Figura 1. Influencia de las Causas</w:t>
      </w:r>
    </w:p>
    <w:p w14:paraId="563A1C7C" w14:textId="77777777" w:rsidR="00B50826" w:rsidRDefault="00006AE2">
      <w:pPr>
        <w:jc w:val="both"/>
        <w:rPr>
          <w:rFonts w:ascii="Arial" w:eastAsia="Arial" w:hAnsi="Arial" w:cs="Arial"/>
          <w:color w:val="002060"/>
          <w:sz w:val="20"/>
          <w:szCs w:val="20"/>
        </w:rPr>
      </w:pPr>
      <w:r>
        <w:rPr>
          <w:noProof/>
        </w:rPr>
        <w:drawing>
          <wp:inline distT="0" distB="0" distL="0" distR="0" wp14:anchorId="3365FED8" wp14:editId="6AEE73F7">
            <wp:extent cx="5579130" cy="2838734"/>
            <wp:effectExtent l="0" t="0" r="2540" b="0"/>
            <wp:docPr id="2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585185" cy="2841815"/>
                    </a:xfrm>
                    <a:prstGeom prst="rect">
                      <a:avLst/>
                    </a:prstGeom>
                    <a:ln/>
                  </pic:spPr>
                </pic:pic>
              </a:graphicData>
            </a:graphic>
          </wp:inline>
        </w:drawing>
      </w:r>
    </w:p>
    <w:p w14:paraId="0E63B065" w14:textId="77777777" w:rsidR="00B50826" w:rsidRDefault="00B50826">
      <w:pPr>
        <w:jc w:val="both"/>
        <w:rPr>
          <w:rFonts w:ascii="Arial" w:eastAsia="Arial" w:hAnsi="Arial" w:cs="Arial"/>
          <w:color w:val="002060"/>
          <w:sz w:val="20"/>
          <w:szCs w:val="20"/>
        </w:rPr>
      </w:pPr>
    </w:p>
    <w:p w14:paraId="2172C306"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En el siguiente gráfico de redes, se observan las influencias activas, a nivel regional.</w:t>
      </w:r>
    </w:p>
    <w:p w14:paraId="4AB076B9" w14:textId="77777777" w:rsidR="00B50826" w:rsidRDefault="00B50826">
      <w:pPr>
        <w:jc w:val="both"/>
        <w:rPr>
          <w:rFonts w:ascii="Arial" w:eastAsia="Arial" w:hAnsi="Arial" w:cs="Arial"/>
          <w:color w:val="002060"/>
          <w:sz w:val="20"/>
          <w:szCs w:val="20"/>
        </w:rPr>
      </w:pPr>
    </w:p>
    <w:p w14:paraId="6EC7843A" w14:textId="77777777" w:rsidR="00B50826" w:rsidRDefault="00006AE2">
      <w:pPr>
        <w:jc w:val="center"/>
        <w:rPr>
          <w:rFonts w:ascii="Arial" w:eastAsia="Arial" w:hAnsi="Arial" w:cs="Arial"/>
          <w:color w:val="002060"/>
          <w:sz w:val="20"/>
          <w:szCs w:val="20"/>
        </w:rPr>
      </w:pPr>
      <w:r>
        <w:rPr>
          <w:noProof/>
        </w:rPr>
        <w:lastRenderedPageBreak/>
        <w:drawing>
          <wp:inline distT="0" distB="0" distL="0" distR="0" wp14:anchorId="58E3C038" wp14:editId="3451F6FE">
            <wp:extent cx="5639435" cy="3415030"/>
            <wp:effectExtent l="0" t="0" r="0" b="0"/>
            <wp:docPr id="2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5639768" cy="3415318"/>
                    </a:xfrm>
                    <a:prstGeom prst="rect">
                      <a:avLst/>
                    </a:prstGeom>
                    <a:ln/>
                  </pic:spPr>
                </pic:pic>
              </a:graphicData>
            </a:graphic>
          </wp:inline>
        </w:drawing>
      </w:r>
    </w:p>
    <w:p w14:paraId="772889EC"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los gráficos precedentes se observan las causas indirectas más influyentes en proceso de cambios de uso de la tierra y la consiguiente pérdida de bosques, entre ellas tenemos:</w:t>
      </w:r>
    </w:p>
    <w:p w14:paraId="69400F74" w14:textId="77777777" w:rsidR="00B50826" w:rsidRDefault="00B50826">
      <w:pPr>
        <w:jc w:val="both"/>
        <w:rPr>
          <w:rFonts w:ascii="Arial" w:eastAsia="Arial" w:hAnsi="Arial" w:cs="Arial"/>
          <w:color w:val="002060"/>
          <w:sz w:val="20"/>
          <w:szCs w:val="20"/>
        </w:rPr>
      </w:pPr>
    </w:p>
    <w:p w14:paraId="599DC48F"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Control y vigilancia</w:t>
      </w:r>
      <w:r>
        <w:rPr>
          <w:rFonts w:ascii="Arial" w:eastAsia="Arial" w:hAnsi="Arial" w:cs="Arial"/>
          <w:color w:val="002060"/>
          <w:sz w:val="20"/>
          <w:szCs w:val="20"/>
        </w:rPr>
        <w:t xml:space="preserve">, es la causa de mayor influyente, referida como escasa presencia del estado en sus diferentes niveles en el control de la ocupación y el uso del territorio y de los RR.NN. </w:t>
      </w:r>
    </w:p>
    <w:p w14:paraId="148A7F9D"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Ingresos/capital</w:t>
      </w:r>
      <w:r>
        <w:rPr>
          <w:rFonts w:ascii="Arial" w:eastAsia="Arial" w:hAnsi="Arial" w:cs="Arial"/>
          <w:color w:val="002060"/>
          <w:sz w:val="20"/>
          <w:szCs w:val="20"/>
        </w:rPr>
        <w:t xml:space="preserve">, referida a la disponibilidad de </w:t>
      </w:r>
      <w:proofErr w:type="gramStart"/>
      <w:r>
        <w:rPr>
          <w:rFonts w:ascii="Arial" w:eastAsia="Arial" w:hAnsi="Arial" w:cs="Arial"/>
          <w:color w:val="002060"/>
          <w:sz w:val="20"/>
          <w:szCs w:val="20"/>
        </w:rPr>
        <w:t>capital  para</w:t>
      </w:r>
      <w:proofErr w:type="gramEnd"/>
      <w:r>
        <w:rPr>
          <w:rFonts w:ascii="Arial" w:eastAsia="Arial" w:hAnsi="Arial" w:cs="Arial"/>
          <w:color w:val="002060"/>
          <w:sz w:val="20"/>
          <w:szCs w:val="20"/>
        </w:rPr>
        <w:t xml:space="preserve"> el desarrollo de actividades productivas, principalmente en el cultivo de papaya, palma aceitera, cultivo ilegal de hoja de coca, extracción de madera, etc.</w:t>
      </w:r>
    </w:p>
    <w:p w14:paraId="204E5F76"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Tráfico de tierras:</w:t>
      </w:r>
      <w:r>
        <w:rPr>
          <w:rFonts w:ascii="Arial" w:eastAsia="Arial" w:hAnsi="Arial" w:cs="Arial"/>
          <w:color w:val="002060"/>
          <w:sz w:val="20"/>
          <w:szCs w:val="20"/>
        </w:rPr>
        <w:t xml:space="preserve"> Acaparamiento de tierras para comercializarlas. </w:t>
      </w:r>
    </w:p>
    <w:p w14:paraId="79B0F8E5"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 xml:space="preserve">Invasiones: </w:t>
      </w:r>
      <w:r>
        <w:rPr>
          <w:rFonts w:ascii="Arial" w:eastAsia="Arial" w:hAnsi="Arial" w:cs="Arial"/>
          <w:color w:val="002060"/>
          <w:sz w:val="20"/>
          <w:szCs w:val="20"/>
        </w:rPr>
        <w:t>Aumento de la ocupación ilegal de tierras para conversión a uso agrícola.</w:t>
      </w:r>
    </w:p>
    <w:p w14:paraId="154970E4"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Ingresos y capital</w:t>
      </w:r>
      <w:r>
        <w:rPr>
          <w:rFonts w:ascii="Arial" w:eastAsia="Arial" w:hAnsi="Arial" w:cs="Arial"/>
          <w:color w:val="002060"/>
          <w:sz w:val="20"/>
          <w:szCs w:val="20"/>
        </w:rPr>
        <w:t>: Disponibilidad de capital para el desarrollo de actividades productivas.</w:t>
      </w:r>
    </w:p>
    <w:p w14:paraId="3D7C8C82"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 xml:space="preserve">Programas de inversión pública: </w:t>
      </w:r>
      <w:r>
        <w:rPr>
          <w:rFonts w:ascii="Arial" w:eastAsia="Arial" w:hAnsi="Arial" w:cs="Arial"/>
          <w:color w:val="002060"/>
          <w:sz w:val="20"/>
          <w:szCs w:val="20"/>
        </w:rPr>
        <w:t xml:space="preserve">Promoción de cadenas de valor como el café y el cacao mediante PIP, así como la inadecuada implementación de programas de incentivos por parte del estado para el mejoramiento de las cadenas productivas de los diferentes cultivos. </w:t>
      </w:r>
    </w:p>
    <w:p w14:paraId="6E271B1C" w14:textId="77777777" w:rsidR="00B50826" w:rsidRDefault="00006AE2">
      <w:pPr>
        <w:numPr>
          <w:ilvl w:val="0"/>
          <w:numId w:val="6"/>
        </w:numPr>
        <w:pBdr>
          <w:top w:val="nil"/>
          <w:left w:val="nil"/>
          <w:bottom w:val="nil"/>
          <w:right w:val="nil"/>
          <w:between w:val="nil"/>
        </w:pBdr>
        <w:ind w:left="0" w:hanging="426"/>
        <w:jc w:val="both"/>
        <w:rPr>
          <w:rFonts w:ascii="Arial" w:eastAsia="Arial" w:hAnsi="Arial" w:cs="Arial"/>
          <w:color w:val="002060"/>
          <w:sz w:val="20"/>
          <w:szCs w:val="20"/>
        </w:rPr>
      </w:pPr>
      <w:r>
        <w:rPr>
          <w:rFonts w:ascii="Arial" w:eastAsia="Arial" w:hAnsi="Arial" w:cs="Arial"/>
          <w:b/>
          <w:color w:val="002060"/>
          <w:sz w:val="20"/>
          <w:szCs w:val="20"/>
        </w:rPr>
        <w:t xml:space="preserve">Programas de inversión privada: </w:t>
      </w:r>
      <w:r>
        <w:rPr>
          <w:rFonts w:ascii="Arial" w:eastAsia="Arial" w:hAnsi="Arial" w:cs="Arial"/>
          <w:color w:val="002060"/>
          <w:sz w:val="20"/>
          <w:szCs w:val="20"/>
        </w:rPr>
        <w:t>Entidades privadas que promueven la expansión de cultivos como cacao y café mediante paquetes tecnológicos, créditos y acopio.</w:t>
      </w:r>
    </w:p>
    <w:p w14:paraId="6D47F0BD" w14:textId="77777777" w:rsidR="00B50826" w:rsidRDefault="00B50826">
      <w:pPr>
        <w:jc w:val="center"/>
        <w:rPr>
          <w:rFonts w:ascii="Arial" w:eastAsia="Arial" w:hAnsi="Arial" w:cs="Arial"/>
          <w:b/>
          <w:color w:val="002060"/>
          <w:sz w:val="20"/>
          <w:szCs w:val="20"/>
        </w:rPr>
      </w:pPr>
    </w:p>
    <w:p w14:paraId="7BEB6E54"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Estas causas indirectas son a la vez puntos de apalancamiento, sobre las cuales se han planteado estrategias de intervención, cuyos efectos pueden tener impactos en el corto, mediano y largo plazo. </w:t>
      </w:r>
    </w:p>
    <w:p w14:paraId="11F48D78" w14:textId="77777777" w:rsidR="00B50826" w:rsidRDefault="00B50826">
      <w:pPr>
        <w:jc w:val="both"/>
        <w:rPr>
          <w:rFonts w:ascii="Arial" w:eastAsia="Arial" w:hAnsi="Arial" w:cs="Arial"/>
          <w:color w:val="002060"/>
          <w:sz w:val="20"/>
          <w:szCs w:val="20"/>
        </w:rPr>
      </w:pPr>
    </w:p>
    <w:p w14:paraId="6DE3FF4B"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Concluyéndose que en esta región en su conjunto, se encuentra enfrentada a graves procesos de deforestación y degradación del bosque, derivados del proceso de crecimiento económico insostenible, con baja gobernanza; impulsado desde las últimas décadas por los distintos gobiernos de turno y diversos niveles de gobierno; con ausencia de control de la intervención del hombre sobre el bosque amazónico.</w:t>
      </w:r>
    </w:p>
    <w:p w14:paraId="5EC5E41E"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68CD471C"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La mayor consecuencia es que parte de los bosques originales han desaparecido, otra parte aún está en pie, pero hay bosques que han sufrido diversos grados de deforestación y degradación que además se convierten vulnerables a posibles y devastadores incendios.</w:t>
      </w:r>
    </w:p>
    <w:p w14:paraId="262DF2D0"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4BC8CFC8"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Sin dejar de mencionar que otras causas de la inminente desaparición de los bosques de la selva amazónica, son a causa del creciente nivel de corrupción a nivel de funcionarios públicos y de empresas que poseen gran capacidad para corromper, y así poder burlar las leyes y aprovecharse de los recursos naturales. </w:t>
      </w:r>
    </w:p>
    <w:p w14:paraId="71D80AAA" w14:textId="77777777" w:rsidR="00B50826" w:rsidRDefault="00B50826">
      <w:pPr>
        <w:jc w:val="both"/>
        <w:rPr>
          <w:rFonts w:ascii="Arial" w:eastAsia="Arial" w:hAnsi="Arial" w:cs="Arial"/>
          <w:color w:val="002060"/>
          <w:sz w:val="20"/>
          <w:szCs w:val="20"/>
        </w:rPr>
      </w:pPr>
    </w:p>
    <w:p w14:paraId="081E01E4" w14:textId="77777777" w:rsidR="00B50826" w:rsidRDefault="00006AE2">
      <w:pPr>
        <w:numPr>
          <w:ilvl w:val="0"/>
          <w:numId w:val="18"/>
        </w:numPr>
        <w:pBdr>
          <w:top w:val="nil"/>
          <w:left w:val="nil"/>
          <w:bottom w:val="nil"/>
          <w:right w:val="nil"/>
          <w:between w:val="nil"/>
        </w:pBdr>
        <w:ind w:left="0" w:hanging="567"/>
        <w:rPr>
          <w:rFonts w:ascii="Arial" w:eastAsia="Arial" w:hAnsi="Arial" w:cs="Arial"/>
          <w:b/>
          <w:color w:val="002060"/>
        </w:rPr>
      </w:pPr>
      <w:r>
        <w:rPr>
          <w:rFonts w:ascii="Arial" w:eastAsia="Arial" w:hAnsi="Arial" w:cs="Arial"/>
          <w:b/>
          <w:color w:val="002060"/>
        </w:rPr>
        <w:t>Condiciones de entorno (político, económico, social, cultural, ambiental, legal, tecnológico).</w:t>
      </w:r>
    </w:p>
    <w:p w14:paraId="023B2B20" w14:textId="77777777" w:rsidR="00B50826" w:rsidRDefault="00006AE2">
      <w:pPr>
        <w:pBdr>
          <w:top w:val="nil"/>
          <w:left w:val="nil"/>
          <w:bottom w:val="nil"/>
          <w:right w:val="nil"/>
          <w:between w:val="nil"/>
        </w:pBdr>
        <w:ind w:left="1353" w:hanging="720"/>
        <w:rPr>
          <w:rFonts w:ascii="Arial" w:eastAsia="Arial" w:hAnsi="Arial" w:cs="Arial"/>
          <w:color w:val="002060"/>
          <w:sz w:val="20"/>
          <w:szCs w:val="20"/>
        </w:rPr>
      </w:pPr>
      <w:r>
        <w:rPr>
          <w:rFonts w:ascii="Arial" w:eastAsia="Arial" w:hAnsi="Arial" w:cs="Arial"/>
          <w:color w:val="002060"/>
          <w:sz w:val="20"/>
          <w:szCs w:val="20"/>
        </w:rPr>
        <w:lastRenderedPageBreak/>
        <w:t xml:space="preserve"> </w:t>
      </w:r>
    </w:p>
    <w:p w14:paraId="32F20CF1" w14:textId="77777777" w:rsidR="00B50826" w:rsidRDefault="00006AE2">
      <w:pPr>
        <w:numPr>
          <w:ilvl w:val="0"/>
          <w:numId w:val="14"/>
        </w:numPr>
        <w:pBdr>
          <w:top w:val="nil"/>
          <w:left w:val="nil"/>
          <w:bottom w:val="nil"/>
          <w:right w:val="nil"/>
          <w:between w:val="nil"/>
        </w:pBdr>
        <w:ind w:left="0" w:hanging="426"/>
        <w:rPr>
          <w:rFonts w:ascii="Arial" w:eastAsia="Arial" w:hAnsi="Arial" w:cs="Arial"/>
          <w:b/>
          <w:color w:val="002060"/>
          <w:sz w:val="20"/>
          <w:szCs w:val="20"/>
        </w:rPr>
      </w:pPr>
      <w:r>
        <w:rPr>
          <w:rFonts w:ascii="Arial" w:eastAsia="Arial" w:hAnsi="Arial" w:cs="Arial"/>
          <w:b/>
          <w:color w:val="002060"/>
          <w:sz w:val="20"/>
          <w:szCs w:val="20"/>
        </w:rPr>
        <w:t>Político.</w:t>
      </w:r>
    </w:p>
    <w:p w14:paraId="0AE75AB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 Región Huánuco, en el año 2019 ha iniciado una nueva configuración política regional, ya que durante el periodo 2015 - 2018 ha gobernado el movimiento regional agrupado bajo la etiqueta de “Independiente” el “Movimiento de Integración Descentralista – MIDE”.</w:t>
      </w:r>
    </w:p>
    <w:p w14:paraId="6890BF54" w14:textId="77777777" w:rsidR="00B50826" w:rsidRDefault="00B50826">
      <w:pPr>
        <w:jc w:val="both"/>
        <w:rPr>
          <w:rFonts w:ascii="Arial" w:eastAsia="Arial" w:hAnsi="Arial" w:cs="Arial"/>
          <w:color w:val="002060"/>
          <w:sz w:val="20"/>
          <w:szCs w:val="20"/>
        </w:rPr>
      </w:pPr>
    </w:p>
    <w:p w14:paraId="1408DBF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Para este periodo gubernamental (2019 – 2022), los resultados electorales han favorecido como gran ganador al Partido Acción Popular” (AP), la victoria en cinco (5) de la once (11) provincias, muestra una fragmentación política heredada de los últimos años. El Gobernador electo, enfrenta un gran obstáculo de legitimidad, por cuanto; solo cuenta con cinco (5) Consejeros Regionales de los diecinueve (19), lo que confirma la dispersión política del electorado regional, por lo que resulta imprescindible el dialogo político y de consenso entre los elegidos. Dado los actos de corrupción que se vienen descubriendo a nivel nacional, la administración pública no goza de buena reputación, y la desconfianza de la población es cada vez mayor.</w:t>
      </w:r>
    </w:p>
    <w:p w14:paraId="32EBACDC" w14:textId="77777777" w:rsidR="00B50826" w:rsidRDefault="00B50826">
      <w:pPr>
        <w:jc w:val="both"/>
        <w:rPr>
          <w:rFonts w:ascii="Arial" w:eastAsia="Arial" w:hAnsi="Arial" w:cs="Arial"/>
          <w:color w:val="002060"/>
          <w:sz w:val="20"/>
          <w:szCs w:val="20"/>
        </w:rPr>
      </w:pPr>
    </w:p>
    <w:p w14:paraId="16533FC1"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 situación política en la región requiere que las autoridades o líderes políticos afronten con firmeza los problemas que afectan a los ciudadanos, como; el problema de la basura en las ciudades junto a la ausencia del reciclaje (37.2%), la contaminación minera (17.7%), la escasez de agua (18.8%) y el calentamiento global por la emisión de gases (19.8% junto a la deforestación (4.8%)</w:t>
      </w:r>
      <w:r>
        <w:rPr>
          <w:rFonts w:ascii="Calibri" w:eastAsia="Calibri" w:hAnsi="Calibri" w:cs="Calibri"/>
          <w:color w:val="002060"/>
          <w:sz w:val="18"/>
          <w:szCs w:val="18"/>
          <w:vertAlign w:val="superscript"/>
        </w:rPr>
        <w:footnoteReference w:id="28"/>
      </w:r>
      <w:r>
        <w:rPr>
          <w:rFonts w:ascii="Arial" w:eastAsia="Arial" w:hAnsi="Arial" w:cs="Arial"/>
          <w:color w:val="002060"/>
          <w:sz w:val="20"/>
          <w:szCs w:val="20"/>
        </w:rPr>
        <w:t>.</w:t>
      </w:r>
    </w:p>
    <w:p w14:paraId="12C17BB3" w14:textId="77777777" w:rsidR="00B50826" w:rsidRDefault="00B50826">
      <w:pPr>
        <w:ind w:left="1728"/>
        <w:jc w:val="both"/>
        <w:rPr>
          <w:rFonts w:ascii="Arial" w:eastAsia="Arial" w:hAnsi="Arial" w:cs="Arial"/>
          <w:color w:val="002060"/>
          <w:sz w:val="20"/>
          <w:szCs w:val="20"/>
        </w:rPr>
      </w:pPr>
    </w:p>
    <w:p w14:paraId="23B3386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la actualidad en la región existe la percepción de la población, es que la gestión del Gobierno Regional será lo mismo de siempre, no tienen expectativas u oportunidad de cambio, observándose que los temas que más preocupan a la sociedad son la corrupción y la inseguridad ciudadana, conllevando a una sensación de incertidumbre y resignación en la situación política.</w:t>
      </w:r>
    </w:p>
    <w:p w14:paraId="2D88827E" w14:textId="77777777" w:rsidR="00B50826" w:rsidRDefault="00B50826">
      <w:pPr>
        <w:spacing w:after="240"/>
        <w:ind w:left="1728"/>
        <w:jc w:val="both"/>
        <w:rPr>
          <w:rFonts w:ascii="Arial" w:eastAsia="Arial" w:hAnsi="Arial" w:cs="Arial"/>
          <w:b/>
          <w:color w:val="002060"/>
          <w:sz w:val="20"/>
          <w:szCs w:val="20"/>
        </w:rPr>
      </w:pPr>
    </w:p>
    <w:p w14:paraId="6902EDE5" w14:textId="77777777" w:rsidR="00B50826" w:rsidRDefault="00006AE2">
      <w:pPr>
        <w:numPr>
          <w:ilvl w:val="0"/>
          <w:numId w:val="14"/>
        </w:numPr>
        <w:pBdr>
          <w:top w:val="nil"/>
          <w:left w:val="nil"/>
          <w:bottom w:val="nil"/>
          <w:right w:val="nil"/>
          <w:between w:val="nil"/>
        </w:pBdr>
        <w:ind w:left="0" w:hanging="426"/>
        <w:rPr>
          <w:rFonts w:ascii="Arial" w:eastAsia="Arial" w:hAnsi="Arial" w:cs="Arial"/>
          <w:b/>
          <w:color w:val="002060"/>
          <w:sz w:val="20"/>
          <w:szCs w:val="20"/>
        </w:rPr>
      </w:pPr>
      <w:r>
        <w:rPr>
          <w:rFonts w:ascii="Arial" w:eastAsia="Arial" w:hAnsi="Arial" w:cs="Arial"/>
          <w:b/>
          <w:color w:val="002060"/>
          <w:sz w:val="20"/>
          <w:szCs w:val="20"/>
        </w:rPr>
        <w:t>Económico</w:t>
      </w:r>
    </w:p>
    <w:p w14:paraId="306D4707" w14:textId="77777777" w:rsidR="00B50826" w:rsidRDefault="00B50826">
      <w:pPr>
        <w:pBdr>
          <w:top w:val="nil"/>
          <w:left w:val="nil"/>
          <w:bottom w:val="nil"/>
          <w:right w:val="nil"/>
          <w:between w:val="nil"/>
        </w:pBdr>
        <w:ind w:hanging="720"/>
        <w:rPr>
          <w:rFonts w:ascii="Arial" w:eastAsia="Arial" w:hAnsi="Arial" w:cs="Arial"/>
          <w:b/>
          <w:color w:val="002060"/>
          <w:sz w:val="20"/>
          <w:szCs w:val="20"/>
        </w:rPr>
      </w:pPr>
    </w:p>
    <w:p w14:paraId="6B4AB367"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Resulta paradójico y difícil de comprender que, en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peruana, donde existe un bajo nivel poblacional (3 millones de habitantes como máximo) y una amplia gama de recursos disponibles, existan niveles de pobreza preocupantes, por causas que son difíciles de establecer y se presume tienen origen fuera de la región (como las políticas de estado centralistas).</w:t>
      </w:r>
    </w:p>
    <w:p w14:paraId="2BD16AC8"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1BFA57F2" w14:textId="77777777" w:rsidR="00B50826" w:rsidRDefault="00006AE2">
      <w:pPr>
        <w:pBdr>
          <w:top w:val="nil"/>
          <w:left w:val="nil"/>
          <w:bottom w:val="nil"/>
          <w:right w:val="nil"/>
          <w:between w:val="nil"/>
        </w:pBdr>
        <w:spacing w:after="240"/>
        <w:jc w:val="both"/>
        <w:rPr>
          <w:rFonts w:ascii="Arial" w:eastAsia="Arial" w:hAnsi="Arial" w:cs="Arial"/>
          <w:color w:val="002060"/>
          <w:sz w:val="20"/>
          <w:szCs w:val="20"/>
        </w:rPr>
      </w:pPr>
      <w:r>
        <w:rPr>
          <w:rFonts w:ascii="Arial" w:eastAsia="Arial" w:hAnsi="Arial" w:cs="Arial"/>
          <w:color w:val="002060"/>
          <w:sz w:val="20"/>
          <w:szCs w:val="20"/>
        </w:rPr>
        <w:t>Los modelos de desarrollo aplicados en los últimos 50 años han fracasado, tanto en aspectos sociales y económicos, como en los ambientales y tecnológicos. La contribución de la producción regional al PBI nacional, si se deja de lado el petróleo y el gas, es extremadamente modesta, y la calidad de vida de los pobladores ha sufrido una degradación constante. Esto quiere decir, que los modelos de producción agropecuaria y forestal implementados no han dado los resultados esperados. De allí es entendible la producción de coca y narcotráfico, asociado al terrorismo</w:t>
      </w:r>
      <w:r>
        <w:rPr>
          <w:rFonts w:ascii="Calibri" w:eastAsia="Calibri" w:hAnsi="Calibri" w:cs="Calibri"/>
          <w:color w:val="002060"/>
          <w:sz w:val="18"/>
          <w:szCs w:val="18"/>
          <w:vertAlign w:val="superscript"/>
        </w:rPr>
        <w:footnoteReference w:id="29"/>
      </w:r>
      <w:r>
        <w:rPr>
          <w:rFonts w:ascii="Arial" w:eastAsia="Arial" w:hAnsi="Arial" w:cs="Arial"/>
          <w:color w:val="002060"/>
          <w:sz w:val="20"/>
          <w:szCs w:val="20"/>
        </w:rPr>
        <w:t xml:space="preserve">. </w:t>
      </w:r>
    </w:p>
    <w:p w14:paraId="6E0C97DB"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La población censada de 2017 en Huánuco ascendió a 721,047 habitantes (2,5 % de la población censada a nivel nacional), de los cuales el 50,5 % fueron mujeres. En base al Censo de Población y Vivienda 2017, de los 721,047 habitantes censados en Huánuco, el 41 % se encontró en la provincia de Huánuco, seguido de Leoncio Prado (18 %), Huamalíes (7 %), Ambo (7 %), Puerto Inca (4.5 %).</w:t>
      </w:r>
    </w:p>
    <w:p w14:paraId="742AAE8E" w14:textId="77777777" w:rsidR="00B50826" w:rsidRDefault="00006AE2">
      <w:pPr>
        <w:spacing w:after="240"/>
        <w:ind w:firstLine="708"/>
        <w:rPr>
          <w:rFonts w:ascii="Arial" w:eastAsia="Arial" w:hAnsi="Arial" w:cs="Arial"/>
          <w:b/>
          <w:color w:val="002060"/>
          <w:sz w:val="20"/>
          <w:szCs w:val="20"/>
        </w:rPr>
      </w:pPr>
      <w:r>
        <w:rPr>
          <w:rFonts w:ascii="Arial" w:eastAsia="Arial" w:hAnsi="Arial" w:cs="Arial"/>
          <w:b/>
          <w:color w:val="002060"/>
          <w:sz w:val="20"/>
          <w:szCs w:val="20"/>
        </w:rPr>
        <w:t>Cuadro N° 04: Superficie y Población Región Huánuco 2017</w:t>
      </w:r>
    </w:p>
    <w:p w14:paraId="2477837C" w14:textId="77777777" w:rsidR="00B50826" w:rsidRDefault="00006AE2">
      <w:pPr>
        <w:pBdr>
          <w:top w:val="nil"/>
          <w:left w:val="nil"/>
          <w:bottom w:val="nil"/>
          <w:right w:val="nil"/>
          <w:between w:val="nil"/>
        </w:pBdr>
        <w:spacing w:after="240"/>
        <w:ind w:left="1728" w:hanging="594"/>
        <w:jc w:val="both"/>
        <w:rPr>
          <w:rFonts w:ascii="Arial" w:eastAsia="Arial" w:hAnsi="Arial" w:cs="Arial"/>
          <w:color w:val="002060"/>
          <w:sz w:val="20"/>
          <w:szCs w:val="20"/>
        </w:rPr>
      </w:pPr>
      <w:r>
        <w:rPr>
          <w:noProof/>
        </w:rPr>
        <w:lastRenderedPageBreak/>
        <w:drawing>
          <wp:inline distT="0" distB="0" distL="0" distR="0" wp14:anchorId="477D2F29" wp14:editId="28871D46">
            <wp:extent cx="3530600" cy="1728470"/>
            <wp:effectExtent l="0" t="0" r="0" b="0"/>
            <wp:docPr id="2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3530818" cy="1728793"/>
                    </a:xfrm>
                    <a:prstGeom prst="rect">
                      <a:avLst/>
                    </a:prstGeom>
                    <a:ln/>
                  </pic:spPr>
                </pic:pic>
              </a:graphicData>
            </a:graphic>
          </wp:inline>
        </w:drawing>
      </w:r>
    </w:p>
    <w:p w14:paraId="17FBF64E"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El departamento de Huánuco se sitúa en los últimos puestos en la mayoría de los indicadores, teniendo brechas amplias en relación al promedio nacional. En los sectores Educación y Salud, siguen los niveles más bajos, como lo muestran las variables de rendimiento satisfactorio en lectura y matemática, población analfabeta, mortalidad infantil, desnutrición crónica infantil y esperanza de vida. Sumado a ello, las brechas por cubrir en acceso a servicios de saneamiento básico y energía, las mismas que son bastante significativas; reflejándose mayor incidencia en zonas rurales de la región.</w:t>
      </w:r>
    </w:p>
    <w:p w14:paraId="3824C20A" w14:textId="77777777" w:rsidR="00B50826" w:rsidRDefault="00006AE2" w:rsidP="008500BE">
      <w:pPr>
        <w:pBdr>
          <w:top w:val="nil"/>
          <w:left w:val="nil"/>
          <w:bottom w:val="nil"/>
          <w:right w:val="nil"/>
          <w:between w:val="nil"/>
        </w:pBdr>
        <w:ind w:left="567" w:hanging="851"/>
        <w:jc w:val="both"/>
        <w:rPr>
          <w:rFonts w:ascii="Arial" w:eastAsia="Arial" w:hAnsi="Arial" w:cs="Arial"/>
          <w:b/>
          <w:color w:val="002060"/>
          <w:sz w:val="20"/>
          <w:szCs w:val="20"/>
        </w:rPr>
      </w:pPr>
      <w:r>
        <w:rPr>
          <w:rFonts w:ascii="Arial" w:eastAsia="Arial" w:hAnsi="Arial" w:cs="Arial"/>
          <w:b/>
          <w:color w:val="002060"/>
          <w:sz w:val="20"/>
          <w:szCs w:val="20"/>
        </w:rPr>
        <w:t xml:space="preserve"> C. Índice de Competitividad Regional</w:t>
      </w:r>
    </w:p>
    <w:p w14:paraId="7534B9D8" w14:textId="77777777" w:rsidR="00B50826" w:rsidRDefault="00B50826">
      <w:pPr>
        <w:pBdr>
          <w:top w:val="nil"/>
          <w:left w:val="nil"/>
          <w:bottom w:val="nil"/>
          <w:right w:val="nil"/>
          <w:between w:val="nil"/>
        </w:pBdr>
        <w:ind w:hanging="720"/>
        <w:jc w:val="both"/>
        <w:rPr>
          <w:rFonts w:ascii="Arial" w:eastAsia="Arial" w:hAnsi="Arial" w:cs="Arial"/>
          <w:b/>
          <w:color w:val="002060"/>
          <w:sz w:val="20"/>
          <w:szCs w:val="20"/>
        </w:rPr>
      </w:pPr>
    </w:p>
    <w:p w14:paraId="02CA86DD"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 región Huánuco se encuentra en el puesto veintitrés (23) del Índice de Competitividad Regional</w:t>
      </w:r>
      <w:r>
        <w:rPr>
          <w:rFonts w:ascii="Calibri" w:eastAsia="Calibri" w:hAnsi="Calibri" w:cs="Calibri"/>
          <w:color w:val="002060"/>
          <w:sz w:val="18"/>
          <w:szCs w:val="18"/>
          <w:vertAlign w:val="superscript"/>
        </w:rPr>
        <w:footnoteReference w:id="30"/>
      </w:r>
      <w:r>
        <w:rPr>
          <w:rFonts w:ascii="Arial" w:eastAsia="Arial" w:hAnsi="Arial" w:cs="Arial"/>
          <w:color w:val="002060"/>
          <w:sz w:val="20"/>
          <w:szCs w:val="20"/>
        </w:rPr>
        <w:t>, es decir está entre los más pobres y los menos competitivos del país, es la tercera región menos competitiva del país, se ubica en el último tercio en 28 de los 40 indicadores.</w:t>
      </w:r>
    </w:p>
    <w:p w14:paraId="2EA47546" w14:textId="77777777" w:rsidR="00B50826" w:rsidRDefault="00B50826">
      <w:pPr>
        <w:jc w:val="both"/>
        <w:rPr>
          <w:rFonts w:ascii="Arial" w:eastAsia="Arial" w:hAnsi="Arial" w:cs="Arial"/>
          <w:color w:val="002060"/>
          <w:sz w:val="20"/>
          <w:szCs w:val="20"/>
          <w:highlight w:val="yellow"/>
        </w:rPr>
      </w:pPr>
    </w:p>
    <w:p w14:paraId="7633BF9E" w14:textId="77777777" w:rsidR="00B50826" w:rsidRDefault="00006AE2">
      <w:pPr>
        <w:rPr>
          <w:rFonts w:ascii="Arial" w:eastAsia="Arial" w:hAnsi="Arial" w:cs="Arial"/>
          <w:b/>
          <w:color w:val="002060"/>
          <w:sz w:val="20"/>
          <w:szCs w:val="20"/>
          <w:highlight w:val="yellow"/>
        </w:rPr>
      </w:pPr>
      <w:r>
        <w:rPr>
          <w:noProof/>
        </w:rPr>
        <w:drawing>
          <wp:inline distT="0" distB="0" distL="0" distR="0" wp14:anchorId="627AD70D" wp14:editId="1D98F8A6">
            <wp:extent cx="5469890" cy="3669030"/>
            <wp:effectExtent l="0" t="0" r="0" b="0"/>
            <wp:docPr id="244" name="image24.png" descr="C:\Users\Lenovo\AppData\Local\Microsoft\Windows\INetCache\Content.MSO\53387D1F.tmp"/>
            <wp:cNvGraphicFramePr/>
            <a:graphic xmlns:a="http://schemas.openxmlformats.org/drawingml/2006/main">
              <a:graphicData uri="http://schemas.openxmlformats.org/drawingml/2006/picture">
                <pic:pic xmlns:pic="http://schemas.openxmlformats.org/drawingml/2006/picture">
                  <pic:nvPicPr>
                    <pic:cNvPr id="0" name="image24.png" descr="C:\Users\Lenovo\AppData\Local\Microsoft\Windows\INetCache\Content.MSO\53387D1F.tmp"/>
                    <pic:cNvPicPr preferRelativeResize="0"/>
                  </pic:nvPicPr>
                  <pic:blipFill>
                    <a:blip r:embed="rId37"/>
                    <a:srcRect/>
                    <a:stretch>
                      <a:fillRect/>
                    </a:stretch>
                  </pic:blipFill>
                  <pic:spPr>
                    <a:xfrm>
                      <a:off x="0" y="0"/>
                      <a:ext cx="5470219" cy="3669103"/>
                    </a:xfrm>
                    <a:prstGeom prst="rect">
                      <a:avLst/>
                    </a:prstGeom>
                    <a:ln/>
                  </pic:spPr>
                </pic:pic>
              </a:graphicData>
            </a:graphic>
          </wp:inline>
        </w:drawing>
      </w:r>
    </w:p>
    <w:p w14:paraId="3A4B024A" w14:textId="77777777" w:rsidR="00B50826" w:rsidRDefault="00006AE2">
      <w:pPr>
        <w:rPr>
          <w:rFonts w:ascii="Arial" w:eastAsia="Arial" w:hAnsi="Arial" w:cs="Arial"/>
          <w:color w:val="002060"/>
          <w:sz w:val="20"/>
          <w:szCs w:val="20"/>
        </w:rPr>
      </w:pPr>
      <w:r>
        <w:rPr>
          <w:rFonts w:ascii="Arial" w:eastAsia="Arial" w:hAnsi="Arial" w:cs="Arial"/>
          <w:color w:val="002060"/>
          <w:sz w:val="16"/>
          <w:szCs w:val="16"/>
        </w:rPr>
        <w:t>Fuente: INCORE 2019</w:t>
      </w:r>
      <w:r>
        <w:rPr>
          <w:rFonts w:ascii="Arial" w:eastAsia="Arial" w:hAnsi="Arial" w:cs="Arial"/>
          <w:color w:val="002060"/>
          <w:sz w:val="20"/>
          <w:szCs w:val="20"/>
        </w:rPr>
        <w:t>.</w:t>
      </w:r>
    </w:p>
    <w:p w14:paraId="6AA3AE51" w14:textId="77777777" w:rsidR="00B50826" w:rsidRDefault="00B50826">
      <w:pPr>
        <w:spacing w:after="240"/>
        <w:rPr>
          <w:rFonts w:ascii="Arial" w:eastAsia="Arial" w:hAnsi="Arial" w:cs="Arial"/>
          <w:b/>
          <w:color w:val="002060"/>
          <w:sz w:val="16"/>
          <w:szCs w:val="16"/>
          <w:highlight w:val="yellow"/>
        </w:rPr>
      </w:pPr>
    </w:p>
    <w:p w14:paraId="246346AC" w14:textId="77777777" w:rsidR="00B50826" w:rsidRDefault="00B50826">
      <w:pPr>
        <w:spacing w:after="240"/>
        <w:rPr>
          <w:rFonts w:ascii="Arial" w:eastAsia="Arial" w:hAnsi="Arial" w:cs="Arial"/>
          <w:b/>
          <w:color w:val="002060"/>
          <w:sz w:val="16"/>
          <w:szCs w:val="16"/>
          <w:highlight w:val="yellow"/>
        </w:rPr>
      </w:pPr>
    </w:p>
    <w:p w14:paraId="0F9B07E2" w14:textId="77777777" w:rsidR="00B50826" w:rsidRDefault="00B50826">
      <w:pPr>
        <w:spacing w:after="240"/>
        <w:rPr>
          <w:rFonts w:ascii="Arial" w:eastAsia="Arial" w:hAnsi="Arial" w:cs="Arial"/>
          <w:b/>
          <w:color w:val="002060"/>
          <w:sz w:val="16"/>
          <w:szCs w:val="16"/>
          <w:highlight w:val="yellow"/>
        </w:rPr>
      </w:pPr>
    </w:p>
    <w:p w14:paraId="498A22F2" w14:textId="77777777" w:rsidR="00B50826" w:rsidRDefault="00006AE2">
      <w:pPr>
        <w:spacing w:after="240"/>
        <w:ind w:left="708"/>
        <w:jc w:val="center"/>
        <w:rPr>
          <w:rFonts w:ascii="Arial" w:eastAsia="Arial" w:hAnsi="Arial" w:cs="Arial"/>
          <w:b/>
          <w:color w:val="002060"/>
          <w:sz w:val="20"/>
          <w:szCs w:val="20"/>
        </w:rPr>
      </w:pPr>
      <w:r>
        <w:rPr>
          <w:rFonts w:ascii="Arial" w:eastAsia="Arial" w:hAnsi="Arial" w:cs="Arial"/>
          <w:b/>
          <w:color w:val="002060"/>
          <w:sz w:val="20"/>
          <w:szCs w:val="20"/>
        </w:rPr>
        <w:lastRenderedPageBreak/>
        <w:t xml:space="preserve">Cuadro N° </w:t>
      </w:r>
      <w:proofErr w:type="gramStart"/>
      <w:r>
        <w:rPr>
          <w:rFonts w:ascii="Arial" w:eastAsia="Arial" w:hAnsi="Arial" w:cs="Arial"/>
          <w:b/>
          <w:color w:val="002060"/>
          <w:sz w:val="20"/>
          <w:szCs w:val="20"/>
        </w:rPr>
        <w:t>05 :</w:t>
      </w:r>
      <w:proofErr w:type="gramEnd"/>
      <w:r>
        <w:rPr>
          <w:rFonts w:ascii="Arial" w:eastAsia="Arial" w:hAnsi="Arial" w:cs="Arial"/>
          <w:b/>
          <w:color w:val="002060"/>
          <w:sz w:val="20"/>
          <w:szCs w:val="20"/>
        </w:rPr>
        <w:t xml:space="preserve"> Índice de Competitividad Regional por sectores.</w:t>
      </w:r>
    </w:p>
    <w:tbl>
      <w:tblPr>
        <w:tblStyle w:val="af8"/>
        <w:tblW w:w="0" w:type="auto"/>
        <w:tblInd w:w="0" w:type="dxa"/>
        <w:tblLook w:val="0400" w:firstRow="0" w:lastRow="0" w:firstColumn="0" w:lastColumn="0" w:noHBand="0" w:noVBand="1"/>
      </w:tblPr>
      <w:tblGrid>
        <w:gridCol w:w="1648"/>
        <w:gridCol w:w="1465"/>
        <w:gridCol w:w="1337"/>
      </w:tblGrid>
      <w:tr w:rsidR="00B50826" w14:paraId="2B7CB1E4" w14:textId="77777777">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C6E0B4"/>
            <w:vAlign w:val="bottom"/>
          </w:tcPr>
          <w:p w14:paraId="536B8072" w14:textId="77777777" w:rsidR="00B50826" w:rsidRDefault="00006AE2">
            <w:pP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Rubro o Sector</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5E2B69C8"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Puntaje (0 al 10)</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42860BBA"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Puesto (de 25)</w:t>
            </w:r>
          </w:p>
        </w:tc>
      </w:tr>
      <w:tr w:rsidR="00B50826" w14:paraId="284FEA52"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9C15111"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Índice Total</w:t>
            </w:r>
          </w:p>
        </w:tc>
        <w:tc>
          <w:tcPr>
            <w:tcW w:w="0" w:type="auto"/>
            <w:tcBorders>
              <w:top w:val="nil"/>
              <w:left w:val="nil"/>
              <w:bottom w:val="single" w:sz="4" w:space="0" w:color="000000"/>
              <w:right w:val="single" w:sz="4" w:space="0" w:color="000000"/>
            </w:tcBorders>
            <w:shd w:val="clear" w:color="auto" w:fill="FFFFFF"/>
            <w:vAlign w:val="bottom"/>
          </w:tcPr>
          <w:p w14:paraId="384FDFD4"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3.1</w:t>
            </w:r>
          </w:p>
        </w:tc>
        <w:tc>
          <w:tcPr>
            <w:tcW w:w="0" w:type="auto"/>
            <w:tcBorders>
              <w:top w:val="nil"/>
              <w:left w:val="nil"/>
              <w:bottom w:val="single" w:sz="4" w:space="0" w:color="000000"/>
              <w:right w:val="single" w:sz="4" w:space="0" w:color="000000"/>
            </w:tcBorders>
            <w:shd w:val="clear" w:color="auto" w:fill="FFFFFF"/>
            <w:vAlign w:val="bottom"/>
          </w:tcPr>
          <w:p w14:paraId="6B4A9C02"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r w:rsidR="00B50826" w14:paraId="0F023E0D"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CDD0D5B"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Entorno Económico</w:t>
            </w:r>
          </w:p>
        </w:tc>
        <w:tc>
          <w:tcPr>
            <w:tcW w:w="0" w:type="auto"/>
            <w:tcBorders>
              <w:top w:val="nil"/>
              <w:left w:val="nil"/>
              <w:bottom w:val="single" w:sz="4" w:space="0" w:color="000000"/>
              <w:right w:val="single" w:sz="4" w:space="0" w:color="000000"/>
            </w:tcBorders>
            <w:shd w:val="clear" w:color="auto" w:fill="FFFFFF"/>
            <w:vAlign w:val="bottom"/>
          </w:tcPr>
          <w:p w14:paraId="67560D0F"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1.5</w:t>
            </w:r>
          </w:p>
        </w:tc>
        <w:tc>
          <w:tcPr>
            <w:tcW w:w="0" w:type="auto"/>
            <w:tcBorders>
              <w:top w:val="nil"/>
              <w:left w:val="nil"/>
              <w:bottom w:val="single" w:sz="4" w:space="0" w:color="000000"/>
              <w:right w:val="single" w:sz="4" w:space="0" w:color="000000"/>
            </w:tcBorders>
            <w:shd w:val="clear" w:color="auto" w:fill="FFFFFF"/>
            <w:vAlign w:val="bottom"/>
          </w:tcPr>
          <w:p w14:paraId="6B3FF0B5"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24</w:t>
            </w:r>
          </w:p>
        </w:tc>
      </w:tr>
      <w:tr w:rsidR="00B50826" w14:paraId="105A1788"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4133A95"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Infraestructura</w:t>
            </w:r>
          </w:p>
        </w:tc>
        <w:tc>
          <w:tcPr>
            <w:tcW w:w="0" w:type="auto"/>
            <w:tcBorders>
              <w:top w:val="nil"/>
              <w:left w:val="nil"/>
              <w:bottom w:val="single" w:sz="4" w:space="0" w:color="000000"/>
              <w:right w:val="single" w:sz="4" w:space="0" w:color="000000"/>
            </w:tcBorders>
            <w:shd w:val="clear" w:color="auto" w:fill="FFFFFF"/>
            <w:vAlign w:val="bottom"/>
          </w:tcPr>
          <w:p w14:paraId="50BB595E"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2.8</w:t>
            </w:r>
          </w:p>
        </w:tc>
        <w:tc>
          <w:tcPr>
            <w:tcW w:w="0" w:type="auto"/>
            <w:tcBorders>
              <w:top w:val="nil"/>
              <w:left w:val="nil"/>
              <w:bottom w:val="single" w:sz="4" w:space="0" w:color="000000"/>
              <w:right w:val="single" w:sz="4" w:space="0" w:color="000000"/>
            </w:tcBorders>
            <w:shd w:val="clear" w:color="auto" w:fill="FFFFFF"/>
            <w:vAlign w:val="bottom"/>
          </w:tcPr>
          <w:p w14:paraId="3E6052ED"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r w:rsidR="00B50826" w14:paraId="0A6DFB92"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B45702E"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Salud</w:t>
            </w:r>
          </w:p>
        </w:tc>
        <w:tc>
          <w:tcPr>
            <w:tcW w:w="0" w:type="auto"/>
            <w:tcBorders>
              <w:top w:val="nil"/>
              <w:left w:val="nil"/>
              <w:bottom w:val="single" w:sz="4" w:space="0" w:color="000000"/>
              <w:right w:val="single" w:sz="4" w:space="0" w:color="000000"/>
            </w:tcBorders>
            <w:shd w:val="clear" w:color="auto" w:fill="FFFFFF"/>
            <w:vAlign w:val="bottom"/>
          </w:tcPr>
          <w:p w14:paraId="61ED8241"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5.1</w:t>
            </w:r>
          </w:p>
        </w:tc>
        <w:tc>
          <w:tcPr>
            <w:tcW w:w="0" w:type="auto"/>
            <w:tcBorders>
              <w:top w:val="nil"/>
              <w:left w:val="nil"/>
              <w:bottom w:val="single" w:sz="4" w:space="0" w:color="000000"/>
              <w:right w:val="single" w:sz="4" w:space="0" w:color="000000"/>
            </w:tcBorders>
            <w:shd w:val="clear" w:color="auto" w:fill="FFFFFF"/>
            <w:vAlign w:val="bottom"/>
          </w:tcPr>
          <w:p w14:paraId="6FAAE707"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14</w:t>
            </w:r>
          </w:p>
        </w:tc>
      </w:tr>
      <w:tr w:rsidR="00B50826" w14:paraId="7ACCF2DA"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3858C59D"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Educación</w:t>
            </w:r>
          </w:p>
        </w:tc>
        <w:tc>
          <w:tcPr>
            <w:tcW w:w="0" w:type="auto"/>
            <w:tcBorders>
              <w:top w:val="nil"/>
              <w:left w:val="nil"/>
              <w:bottom w:val="single" w:sz="4" w:space="0" w:color="000000"/>
              <w:right w:val="single" w:sz="4" w:space="0" w:color="000000"/>
            </w:tcBorders>
            <w:shd w:val="clear" w:color="auto" w:fill="FFFFFF"/>
            <w:vAlign w:val="bottom"/>
          </w:tcPr>
          <w:p w14:paraId="40A1ED01"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1.6</w:t>
            </w:r>
          </w:p>
        </w:tc>
        <w:tc>
          <w:tcPr>
            <w:tcW w:w="0" w:type="auto"/>
            <w:tcBorders>
              <w:top w:val="nil"/>
              <w:left w:val="nil"/>
              <w:bottom w:val="single" w:sz="4" w:space="0" w:color="000000"/>
              <w:right w:val="single" w:sz="4" w:space="0" w:color="000000"/>
            </w:tcBorders>
            <w:shd w:val="clear" w:color="auto" w:fill="FFFFFF"/>
            <w:vAlign w:val="bottom"/>
          </w:tcPr>
          <w:p w14:paraId="1F0E1875"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24</w:t>
            </w:r>
          </w:p>
        </w:tc>
      </w:tr>
      <w:tr w:rsidR="00B50826" w14:paraId="678B46F8"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238D97CC"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Laboral</w:t>
            </w:r>
          </w:p>
        </w:tc>
        <w:tc>
          <w:tcPr>
            <w:tcW w:w="0" w:type="auto"/>
            <w:tcBorders>
              <w:top w:val="nil"/>
              <w:left w:val="nil"/>
              <w:bottom w:val="single" w:sz="4" w:space="0" w:color="000000"/>
              <w:right w:val="single" w:sz="4" w:space="0" w:color="000000"/>
            </w:tcBorders>
            <w:shd w:val="clear" w:color="auto" w:fill="FFFFFF"/>
            <w:vAlign w:val="bottom"/>
          </w:tcPr>
          <w:p w14:paraId="0A0537AB"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2.1</w:t>
            </w:r>
          </w:p>
        </w:tc>
        <w:tc>
          <w:tcPr>
            <w:tcW w:w="0" w:type="auto"/>
            <w:tcBorders>
              <w:top w:val="nil"/>
              <w:left w:val="nil"/>
              <w:bottom w:val="single" w:sz="4" w:space="0" w:color="000000"/>
              <w:right w:val="single" w:sz="4" w:space="0" w:color="000000"/>
            </w:tcBorders>
            <w:shd w:val="clear" w:color="auto" w:fill="FFFFFF"/>
            <w:vAlign w:val="bottom"/>
          </w:tcPr>
          <w:p w14:paraId="05354456"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r w:rsidR="00B50826" w14:paraId="5BB24677"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52E8CFB"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Instituciones</w:t>
            </w:r>
          </w:p>
        </w:tc>
        <w:tc>
          <w:tcPr>
            <w:tcW w:w="0" w:type="auto"/>
            <w:tcBorders>
              <w:top w:val="nil"/>
              <w:left w:val="nil"/>
              <w:bottom w:val="single" w:sz="4" w:space="0" w:color="000000"/>
              <w:right w:val="single" w:sz="4" w:space="0" w:color="000000"/>
            </w:tcBorders>
            <w:shd w:val="clear" w:color="auto" w:fill="FFFFFF"/>
            <w:vAlign w:val="bottom"/>
          </w:tcPr>
          <w:p w14:paraId="45E360CF"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5.2</w:t>
            </w:r>
          </w:p>
        </w:tc>
        <w:tc>
          <w:tcPr>
            <w:tcW w:w="0" w:type="auto"/>
            <w:tcBorders>
              <w:top w:val="nil"/>
              <w:left w:val="nil"/>
              <w:bottom w:val="single" w:sz="4" w:space="0" w:color="000000"/>
              <w:right w:val="single" w:sz="4" w:space="0" w:color="000000"/>
            </w:tcBorders>
            <w:shd w:val="clear" w:color="auto" w:fill="FFFFFF"/>
            <w:vAlign w:val="bottom"/>
          </w:tcPr>
          <w:p w14:paraId="3F05C70E"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16</w:t>
            </w:r>
          </w:p>
        </w:tc>
      </w:tr>
    </w:tbl>
    <w:p w14:paraId="61463006" w14:textId="77777777" w:rsidR="00B50826" w:rsidRDefault="00006AE2">
      <w:pPr>
        <w:spacing w:after="240"/>
        <w:ind w:left="1341"/>
        <w:jc w:val="both"/>
        <w:rPr>
          <w:rFonts w:ascii="Arial" w:eastAsia="Arial" w:hAnsi="Arial" w:cs="Arial"/>
          <w:color w:val="002060"/>
          <w:sz w:val="20"/>
          <w:szCs w:val="20"/>
        </w:rPr>
      </w:pPr>
      <w:r>
        <w:rPr>
          <w:rFonts w:ascii="Arial" w:eastAsia="Arial" w:hAnsi="Arial" w:cs="Arial"/>
          <w:color w:val="002060"/>
          <w:sz w:val="20"/>
          <w:szCs w:val="20"/>
        </w:rPr>
        <w:t>Fuente: INCORE 2019</w:t>
      </w:r>
    </w:p>
    <w:p w14:paraId="5CAD4C7D"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En el cuadro precedente se puede observar que, en el entorno económico, infraestructura educación y laboral, esta región ocupa los últimos puestos, a nivel de todas las regiones a nivel nacional.</w:t>
      </w:r>
    </w:p>
    <w:p w14:paraId="7F5C5057" w14:textId="77777777" w:rsidR="00B50826" w:rsidRDefault="00006AE2">
      <w:pPr>
        <w:spacing w:after="240"/>
        <w:ind w:left="708"/>
        <w:jc w:val="center"/>
        <w:rPr>
          <w:rFonts w:ascii="Arial" w:eastAsia="Arial" w:hAnsi="Arial" w:cs="Arial"/>
          <w:b/>
          <w:color w:val="002060"/>
          <w:sz w:val="20"/>
          <w:szCs w:val="20"/>
        </w:rPr>
      </w:pPr>
      <w:r>
        <w:rPr>
          <w:rFonts w:ascii="Arial" w:eastAsia="Arial" w:hAnsi="Arial" w:cs="Arial"/>
          <w:b/>
          <w:color w:val="002060"/>
          <w:sz w:val="20"/>
          <w:szCs w:val="20"/>
        </w:rPr>
        <w:t>Cuadro N° 06: Índice de Competitividad Regional por sectores.</w:t>
      </w:r>
    </w:p>
    <w:tbl>
      <w:tblPr>
        <w:tblStyle w:val="af9"/>
        <w:tblW w:w="0" w:type="auto"/>
        <w:tblInd w:w="0" w:type="dxa"/>
        <w:tblLook w:val="0400" w:firstRow="0" w:lastRow="0" w:firstColumn="0" w:lastColumn="0" w:noHBand="0" w:noVBand="1"/>
      </w:tblPr>
      <w:tblGrid>
        <w:gridCol w:w="3018"/>
        <w:gridCol w:w="901"/>
        <w:gridCol w:w="1337"/>
      </w:tblGrid>
      <w:tr w:rsidR="00B50826" w14:paraId="276CCFF9" w14:textId="77777777">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C6E0B4"/>
            <w:vAlign w:val="bottom"/>
          </w:tcPr>
          <w:p w14:paraId="13832041" w14:textId="77777777" w:rsidR="00B50826" w:rsidRDefault="00006AE2">
            <w:pP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Entorno Económico</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287920D3"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Valor</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49ED15DE"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Puesto (de 25)</w:t>
            </w:r>
          </w:p>
        </w:tc>
      </w:tr>
      <w:tr w:rsidR="00B50826" w14:paraId="298103EE"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47353A2"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Producto Bruto Interno Real (Millones)</w:t>
            </w:r>
          </w:p>
        </w:tc>
        <w:tc>
          <w:tcPr>
            <w:tcW w:w="0" w:type="auto"/>
            <w:tcBorders>
              <w:top w:val="nil"/>
              <w:left w:val="nil"/>
              <w:bottom w:val="single" w:sz="4" w:space="0" w:color="000000"/>
              <w:right w:val="single" w:sz="4" w:space="0" w:color="000000"/>
            </w:tcBorders>
            <w:shd w:val="clear" w:color="auto" w:fill="FFFFFF"/>
            <w:vAlign w:val="bottom"/>
          </w:tcPr>
          <w:p w14:paraId="275C2EF7"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S/.6,039</w:t>
            </w:r>
          </w:p>
        </w:tc>
        <w:tc>
          <w:tcPr>
            <w:tcW w:w="0" w:type="auto"/>
            <w:tcBorders>
              <w:top w:val="nil"/>
              <w:left w:val="nil"/>
              <w:bottom w:val="single" w:sz="4" w:space="0" w:color="000000"/>
              <w:right w:val="single" w:sz="4" w:space="0" w:color="000000"/>
            </w:tcBorders>
            <w:shd w:val="clear" w:color="auto" w:fill="FFFFFF"/>
            <w:vAlign w:val="bottom"/>
          </w:tcPr>
          <w:p w14:paraId="16828DA7"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18</w:t>
            </w:r>
          </w:p>
        </w:tc>
      </w:tr>
      <w:tr w:rsidR="00B50826" w14:paraId="204B2590"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5808725"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 xml:space="preserve">Producto Bruto Interno Real </w:t>
            </w:r>
            <w:proofErr w:type="spellStart"/>
            <w:r w:rsidRPr="008500BE">
              <w:rPr>
                <w:rFonts w:ascii="Arial" w:eastAsia="Arial Narrow" w:hAnsi="Arial" w:cs="Arial"/>
                <w:color w:val="002060"/>
                <w:sz w:val="16"/>
                <w:szCs w:val="16"/>
              </w:rPr>
              <w:t>Percápita</w:t>
            </w:r>
            <w:proofErr w:type="spellEnd"/>
          </w:p>
        </w:tc>
        <w:tc>
          <w:tcPr>
            <w:tcW w:w="0" w:type="auto"/>
            <w:tcBorders>
              <w:top w:val="nil"/>
              <w:left w:val="nil"/>
              <w:bottom w:val="single" w:sz="4" w:space="0" w:color="000000"/>
              <w:right w:val="single" w:sz="4" w:space="0" w:color="000000"/>
            </w:tcBorders>
            <w:shd w:val="clear" w:color="auto" w:fill="FFFFFF"/>
            <w:vAlign w:val="bottom"/>
          </w:tcPr>
          <w:p w14:paraId="3ECD6D6F"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S/.6,537</w:t>
            </w:r>
          </w:p>
        </w:tc>
        <w:tc>
          <w:tcPr>
            <w:tcW w:w="0" w:type="auto"/>
            <w:tcBorders>
              <w:top w:val="nil"/>
              <w:left w:val="nil"/>
              <w:bottom w:val="single" w:sz="4" w:space="0" w:color="000000"/>
              <w:right w:val="single" w:sz="4" w:space="0" w:color="000000"/>
            </w:tcBorders>
            <w:shd w:val="clear" w:color="auto" w:fill="FFFFFF"/>
            <w:vAlign w:val="bottom"/>
          </w:tcPr>
          <w:p w14:paraId="69EC10BE"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24</w:t>
            </w:r>
          </w:p>
        </w:tc>
      </w:tr>
      <w:tr w:rsidR="00B50826" w14:paraId="2973D95B"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7DECC54C"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Stock de capital por trabajador</w:t>
            </w:r>
          </w:p>
        </w:tc>
        <w:tc>
          <w:tcPr>
            <w:tcW w:w="0" w:type="auto"/>
            <w:tcBorders>
              <w:top w:val="nil"/>
              <w:left w:val="nil"/>
              <w:bottom w:val="single" w:sz="4" w:space="0" w:color="000000"/>
              <w:right w:val="single" w:sz="4" w:space="0" w:color="000000"/>
            </w:tcBorders>
            <w:shd w:val="clear" w:color="auto" w:fill="FFFFFF"/>
            <w:vAlign w:val="bottom"/>
          </w:tcPr>
          <w:p w14:paraId="7F59F974"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S/.12,425</w:t>
            </w:r>
          </w:p>
        </w:tc>
        <w:tc>
          <w:tcPr>
            <w:tcW w:w="0" w:type="auto"/>
            <w:tcBorders>
              <w:top w:val="nil"/>
              <w:left w:val="nil"/>
              <w:bottom w:val="single" w:sz="4" w:space="0" w:color="000000"/>
              <w:right w:val="single" w:sz="4" w:space="0" w:color="000000"/>
            </w:tcBorders>
            <w:shd w:val="clear" w:color="auto" w:fill="FFFFFF"/>
            <w:vAlign w:val="bottom"/>
          </w:tcPr>
          <w:p w14:paraId="39C3D94B"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22</w:t>
            </w:r>
          </w:p>
        </w:tc>
      </w:tr>
      <w:tr w:rsidR="00B50826" w14:paraId="40A29469"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C6639FE"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 xml:space="preserve">Presupuesto público </w:t>
            </w:r>
            <w:proofErr w:type="spellStart"/>
            <w:r w:rsidRPr="008500BE">
              <w:rPr>
                <w:rFonts w:ascii="Arial" w:eastAsia="Arial Narrow" w:hAnsi="Arial" w:cs="Arial"/>
                <w:color w:val="002060"/>
                <w:sz w:val="16"/>
                <w:szCs w:val="16"/>
              </w:rPr>
              <w:t>percápita</w:t>
            </w:r>
            <w:proofErr w:type="spellEnd"/>
            <w:r w:rsidRPr="008500BE">
              <w:rPr>
                <w:rFonts w:ascii="Arial" w:eastAsia="Arial Narrow" w:hAnsi="Arial" w:cs="Arial"/>
                <w:color w:val="002060"/>
                <w:sz w:val="16"/>
                <w:szCs w:val="16"/>
              </w:rPr>
              <w:t xml:space="preserve"> mensual</w:t>
            </w:r>
          </w:p>
        </w:tc>
        <w:tc>
          <w:tcPr>
            <w:tcW w:w="0" w:type="auto"/>
            <w:tcBorders>
              <w:top w:val="nil"/>
              <w:left w:val="nil"/>
              <w:bottom w:val="single" w:sz="4" w:space="0" w:color="000000"/>
              <w:right w:val="single" w:sz="4" w:space="0" w:color="000000"/>
            </w:tcBorders>
            <w:shd w:val="clear" w:color="auto" w:fill="FFFFFF"/>
            <w:vAlign w:val="bottom"/>
          </w:tcPr>
          <w:p w14:paraId="58CBBF7B"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S/.304</w:t>
            </w:r>
          </w:p>
        </w:tc>
        <w:tc>
          <w:tcPr>
            <w:tcW w:w="0" w:type="auto"/>
            <w:tcBorders>
              <w:top w:val="nil"/>
              <w:left w:val="nil"/>
              <w:bottom w:val="single" w:sz="4" w:space="0" w:color="000000"/>
              <w:right w:val="single" w:sz="4" w:space="0" w:color="000000"/>
            </w:tcBorders>
            <w:shd w:val="clear" w:color="auto" w:fill="FFFFFF"/>
            <w:vAlign w:val="bottom"/>
          </w:tcPr>
          <w:p w14:paraId="1B7DB557"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20</w:t>
            </w:r>
          </w:p>
        </w:tc>
      </w:tr>
      <w:tr w:rsidR="00B50826" w14:paraId="421264CE"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382456C3"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Gasto Real del Hogar mensual</w:t>
            </w:r>
          </w:p>
        </w:tc>
        <w:tc>
          <w:tcPr>
            <w:tcW w:w="0" w:type="auto"/>
            <w:tcBorders>
              <w:top w:val="nil"/>
              <w:left w:val="nil"/>
              <w:bottom w:val="single" w:sz="4" w:space="0" w:color="000000"/>
              <w:right w:val="single" w:sz="4" w:space="0" w:color="000000"/>
            </w:tcBorders>
            <w:shd w:val="clear" w:color="auto" w:fill="FFFFFF"/>
            <w:vAlign w:val="bottom"/>
          </w:tcPr>
          <w:p w14:paraId="65214FC7"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S/.1,599</w:t>
            </w:r>
          </w:p>
        </w:tc>
        <w:tc>
          <w:tcPr>
            <w:tcW w:w="0" w:type="auto"/>
            <w:tcBorders>
              <w:top w:val="nil"/>
              <w:left w:val="nil"/>
              <w:bottom w:val="single" w:sz="4" w:space="0" w:color="000000"/>
              <w:right w:val="single" w:sz="4" w:space="0" w:color="000000"/>
            </w:tcBorders>
            <w:shd w:val="clear" w:color="auto" w:fill="FFFFFF"/>
            <w:vAlign w:val="bottom"/>
          </w:tcPr>
          <w:p w14:paraId="49FE766F"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19</w:t>
            </w:r>
          </w:p>
        </w:tc>
      </w:tr>
      <w:tr w:rsidR="00B50826" w14:paraId="6B0E4762"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6B1FC90"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Incremento del Gasto Real por Hogar</w:t>
            </w:r>
          </w:p>
        </w:tc>
        <w:tc>
          <w:tcPr>
            <w:tcW w:w="0" w:type="auto"/>
            <w:tcBorders>
              <w:top w:val="nil"/>
              <w:left w:val="nil"/>
              <w:bottom w:val="single" w:sz="4" w:space="0" w:color="000000"/>
              <w:right w:val="single" w:sz="4" w:space="0" w:color="000000"/>
            </w:tcBorders>
            <w:shd w:val="clear" w:color="auto" w:fill="FFFFFF"/>
            <w:vAlign w:val="bottom"/>
          </w:tcPr>
          <w:p w14:paraId="05331654"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-1.2%</w:t>
            </w:r>
          </w:p>
        </w:tc>
        <w:tc>
          <w:tcPr>
            <w:tcW w:w="0" w:type="auto"/>
            <w:tcBorders>
              <w:top w:val="nil"/>
              <w:left w:val="nil"/>
              <w:bottom w:val="single" w:sz="4" w:space="0" w:color="000000"/>
              <w:right w:val="single" w:sz="4" w:space="0" w:color="000000"/>
            </w:tcBorders>
            <w:shd w:val="clear" w:color="auto" w:fill="FFFFFF"/>
            <w:vAlign w:val="bottom"/>
          </w:tcPr>
          <w:p w14:paraId="13EC4B37"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20</w:t>
            </w:r>
          </w:p>
        </w:tc>
      </w:tr>
      <w:tr w:rsidR="00B50826" w14:paraId="69CA6021"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DD5629B" w14:textId="77777777" w:rsidR="00B50826" w:rsidRPr="008500BE" w:rsidRDefault="00006AE2">
            <w:pPr>
              <w:rPr>
                <w:rFonts w:ascii="Arial" w:eastAsia="Arial Narrow" w:hAnsi="Arial" w:cs="Arial"/>
                <w:color w:val="002060"/>
                <w:sz w:val="16"/>
                <w:szCs w:val="16"/>
              </w:rPr>
            </w:pPr>
            <w:r w:rsidRPr="008500BE">
              <w:rPr>
                <w:rFonts w:ascii="Arial" w:eastAsia="Arial Narrow" w:hAnsi="Arial" w:cs="Arial"/>
                <w:color w:val="002060"/>
                <w:sz w:val="16"/>
                <w:szCs w:val="16"/>
              </w:rPr>
              <w:t>Acceso al Crédito</w:t>
            </w:r>
          </w:p>
        </w:tc>
        <w:tc>
          <w:tcPr>
            <w:tcW w:w="0" w:type="auto"/>
            <w:tcBorders>
              <w:top w:val="nil"/>
              <w:left w:val="nil"/>
              <w:bottom w:val="single" w:sz="4" w:space="0" w:color="000000"/>
              <w:right w:val="single" w:sz="4" w:space="0" w:color="000000"/>
            </w:tcBorders>
            <w:shd w:val="clear" w:color="auto" w:fill="FFFFFF"/>
            <w:vAlign w:val="bottom"/>
          </w:tcPr>
          <w:p w14:paraId="1E348C48"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21.4%</w:t>
            </w:r>
          </w:p>
        </w:tc>
        <w:tc>
          <w:tcPr>
            <w:tcW w:w="0" w:type="auto"/>
            <w:tcBorders>
              <w:top w:val="nil"/>
              <w:left w:val="nil"/>
              <w:bottom w:val="single" w:sz="4" w:space="0" w:color="000000"/>
              <w:right w:val="single" w:sz="4" w:space="0" w:color="000000"/>
            </w:tcBorders>
            <w:shd w:val="clear" w:color="auto" w:fill="FFFFFF"/>
            <w:vAlign w:val="bottom"/>
          </w:tcPr>
          <w:p w14:paraId="60F673EE" w14:textId="77777777" w:rsidR="00B50826" w:rsidRPr="008500BE" w:rsidRDefault="00006AE2">
            <w:pPr>
              <w:jc w:val="right"/>
              <w:rPr>
                <w:rFonts w:ascii="Arial" w:eastAsia="Arial Narrow" w:hAnsi="Arial" w:cs="Arial"/>
                <w:color w:val="002060"/>
                <w:sz w:val="16"/>
                <w:szCs w:val="16"/>
              </w:rPr>
            </w:pPr>
            <w:r w:rsidRPr="008500BE">
              <w:rPr>
                <w:rFonts w:ascii="Arial" w:eastAsia="Arial Narrow" w:hAnsi="Arial" w:cs="Arial"/>
                <w:color w:val="002060"/>
                <w:sz w:val="16"/>
                <w:szCs w:val="16"/>
              </w:rPr>
              <w:t>20</w:t>
            </w:r>
          </w:p>
        </w:tc>
      </w:tr>
    </w:tbl>
    <w:p w14:paraId="13D6B6B2" w14:textId="77777777" w:rsidR="00B50826" w:rsidRDefault="00006AE2">
      <w:pPr>
        <w:spacing w:after="240"/>
        <w:ind w:left="1341"/>
        <w:jc w:val="both"/>
        <w:rPr>
          <w:rFonts w:ascii="Arial" w:eastAsia="Arial" w:hAnsi="Arial" w:cs="Arial"/>
          <w:color w:val="002060"/>
          <w:sz w:val="20"/>
          <w:szCs w:val="20"/>
        </w:rPr>
      </w:pPr>
      <w:r>
        <w:rPr>
          <w:rFonts w:ascii="Arial" w:eastAsia="Arial" w:hAnsi="Arial" w:cs="Arial"/>
          <w:color w:val="002060"/>
          <w:sz w:val="20"/>
          <w:szCs w:val="20"/>
        </w:rPr>
        <w:t>Fuente: INCORE 2019</w:t>
      </w:r>
    </w:p>
    <w:p w14:paraId="2F2B82F0" w14:textId="77777777" w:rsidR="00B50826" w:rsidRDefault="00006AE2">
      <w:pPr>
        <w:jc w:val="both"/>
        <w:rPr>
          <w:rFonts w:ascii="Arial Narrow" w:eastAsia="Arial Narrow" w:hAnsi="Arial Narrow" w:cs="Arial Narrow"/>
          <w:color w:val="002060"/>
          <w:sz w:val="20"/>
          <w:szCs w:val="20"/>
        </w:rPr>
      </w:pPr>
      <w:r>
        <w:rPr>
          <w:rFonts w:ascii="Arial" w:eastAsia="Arial" w:hAnsi="Arial" w:cs="Arial"/>
          <w:color w:val="002060"/>
          <w:sz w:val="20"/>
          <w:szCs w:val="20"/>
        </w:rPr>
        <w:t>En el cuadro precedente se evidencia la baja competitividad en el sector económico, ocupando el penúltimo lugar en el Producto Bruto Interno Real Per cápita que se genera por habitante, y por ende se obtiene un bajo Producto Bruto Interno Real</w:t>
      </w:r>
      <w:r>
        <w:rPr>
          <w:rFonts w:ascii="Arial Narrow" w:eastAsia="Arial Narrow" w:hAnsi="Arial Narrow" w:cs="Arial Narrow"/>
          <w:color w:val="002060"/>
          <w:sz w:val="20"/>
          <w:szCs w:val="20"/>
        </w:rPr>
        <w:t>.</w:t>
      </w:r>
    </w:p>
    <w:p w14:paraId="334AF479" w14:textId="77777777" w:rsidR="00B50826" w:rsidRDefault="00B50826">
      <w:pPr>
        <w:pBdr>
          <w:top w:val="nil"/>
          <w:left w:val="nil"/>
          <w:bottom w:val="nil"/>
          <w:right w:val="nil"/>
          <w:between w:val="nil"/>
        </w:pBdr>
        <w:ind w:hanging="720"/>
        <w:rPr>
          <w:rFonts w:ascii="Arial" w:eastAsia="Arial" w:hAnsi="Arial" w:cs="Arial"/>
          <w:b/>
          <w:color w:val="002060"/>
          <w:sz w:val="20"/>
          <w:szCs w:val="20"/>
        </w:rPr>
      </w:pPr>
    </w:p>
    <w:p w14:paraId="5D91A424" w14:textId="77777777" w:rsidR="008500BE" w:rsidRDefault="008500BE">
      <w:pPr>
        <w:jc w:val="both"/>
        <w:rPr>
          <w:rFonts w:ascii="Arial" w:eastAsia="Arial" w:hAnsi="Arial" w:cs="Arial"/>
          <w:b/>
          <w:color w:val="002060"/>
          <w:sz w:val="20"/>
          <w:szCs w:val="20"/>
        </w:rPr>
      </w:pPr>
    </w:p>
    <w:p w14:paraId="3752DF48" w14:textId="77777777" w:rsidR="00B50826" w:rsidRDefault="00006AE2">
      <w:pPr>
        <w:jc w:val="both"/>
        <w:rPr>
          <w:rFonts w:ascii="Arial" w:eastAsia="Arial" w:hAnsi="Arial" w:cs="Arial"/>
          <w:color w:val="002060"/>
          <w:sz w:val="20"/>
          <w:szCs w:val="20"/>
        </w:rPr>
      </w:pPr>
      <w:r>
        <w:rPr>
          <w:rFonts w:ascii="Arial" w:eastAsia="Arial" w:hAnsi="Arial" w:cs="Arial"/>
          <w:b/>
          <w:color w:val="002060"/>
          <w:sz w:val="20"/>
          <w:szCs w:val="20"/>
        </w:rPr>
        <w:t>Actividades Productivas</w:t>
      </w:r>
      <w:r>
        <w:rPr>
          <w:rFonts w:ascii="Arial" w:eastAsia="Arial" w:hAnsi="Arial" w:cs="Arial"/>
          <w:color w:val="002060"/>
          <w:sz w:val="20"/>
          <w:szCs w:val="20"/>
        </w:rPr>
        <w:t>.</w:t>
      </w:r>
    </w:p>
    <w:p w14:paraId="014C9DB5" w14:textId="77777777" w:rsidR="00B50826" w:rsidRDefault="00B50826">
      <w:pPr>
        <w:jc w:val="both"/>
        <w:rPr>
          <w:rFonts w:ascii="Arial" w:eastAsia="Arial" w:hAnsi="Arial" w:cs="Arial"/>
          <w:color w:val="002060"/>
          <w:sz w:val="20"/>
          <w:szCs w:val="20"/>
        </w:rPr>
      </w:pPr>
    </w:p>
    <w:p w14:paraId="734AE65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Durante el periodo de 2007 - 2017 la dinámica de la economía de Huánuco se encontró afectada por el comportamiento del sector agropecuario, al representar el 17% del Valor Agregado Bruto (VAB) de dicho año; seguido de comercio (11%) y construcción (10%). A pesar de que comercio y servicios significó el 52% del Valor Bruto de Producción (VBP) de Huánuco de 2017, son el sector primario (agricultura, ganadería, explotación forestal y minería) y el secundario (industria minera y petrolífera) los que influyen en mayor medida a la economía de la región (ver Tabla 4).</w:t>
      </w:r>
    </w:p>
    <w:p w14:paraId="1B73A3A6" w14:textId="77777777" w:rsidR="00B50826" w:rsidRDefault="00B50826">
      <w:pPr>
        <w:jc w:val="center"/>
        <w:rPr>
          <w:rFonts w:ascii="Arial" w:eastAsia="Arial" w:hAnsi="Arial" w:cs="Arial"/>
          <w:color w:val="002060"/>
          <w:sz w:val="20"/>
          <w:szCs w:val="20"/>
        </w:rPr>
      </w:pPr>
    </w:p>
    <w:p w14:paraId="3E59E90D"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Cuadro N°07: Valor Agregado Bruto 2017 Región Huánuco</w:t>
      </w:r>
    </w:p>
    <w:p w14:paraId="1A4E7815"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Valores a Precios Constantes 2007 (Miles de soles)</w:t>
      </w:r>
    </w:p>
    <w:p w14:paraId="4F6187BB" w14:textId="77777777" w:rsidR="00B50826" w:rsidRDefault="00B50826">
      <w:pPr>
        <w:rPr>
          <w:rFonts w:ascii="Arial" w:eastAsia="Arial" w:hAnsi="Arial" w:cs="Arial"/>
          <w:color w:val="002060"/>
          <w:sz w:val="20"/>
          <w:szCs w:val="20"/>
        </w:rPr>
      </w:pPr>
    </w:p>
    <w:tbl>
      <w:tblPr>
        <w:tblStyle w:val="afa"/>
        <w:tblW w:w="0" w:type="auto"/>
        <w:tblInd w:w="0" w:type="dxa"/>
        <w:tblLook w:val="0400" w:firstRow="0" w:lastRow="0" w:firstColumn="0" w:lastColumn="0" w:noHBand="0" w:noVBand="1"/>
      </w:tblPr>
      <w:tblGrid>
        <w:gridCol w:w="2611"/>
        <w:gridCol w:w="1274"/>
        <w:gridCol w:w="1416"/>
        <w:gridCol w:w="3193"/>
      </w:tblGrid>
      <w:tr w:rsidR="00B50826" w14:paraId="7BE4D6A2"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9BC2E6"/>
            <w:vAlign w:val="center"/>
          </w:tcPr>
          <w:p w14:paraId="6BA1036C" w14:textId="77777777" w:rsidR="00B50826" w:rsidRPr="008500BE" w:rsidRDefault="00006AE2">
            <w:pPr>
              <w:jc w:val="center"/>
              <w:rPr>
                <w:rFonts w:ascii="Arial" w:eastAsia="Arial" w:hAnsi="Arial" w:cs="Arial"/>
                <w:b/>
                <w:color w:val="002060"/>
                <w:sz w:val="20"/>
                <w:szCs w:val="20"/>
              </w:rPr>
            </w:pPr>
            <w:r w:rsidRPr="008500BE">
              <w:rPr>
                <w:rFonts w:ascii="Arial" w:eastAsia="Arial" w:hAnsi="Arial" w:cs="Arial"/>
                <w:b/>
                <w:color w:val="002060"/>
                <w:sz w:val="20"/>
                <w:szCs w:val="20"/>
              </w:rPr>
              <w:t>Actividades</w:t>
            </w:r>
          </w:p>
        </w:tc>
        <w:tc>
          <w:tcPr>
            <w:tcW w:w="0" w:type="auto"/>
            <w:tcBorders>
              <w:top w:val="single" w:sz="4" w:space="0" w:color="000000"/>
              <w:left w:val="nil"/>
              <w:bottom w:val="single" w:sz="4" w:space="0" w:color="000000"/>
              <w:right w:val="single" w:sz="4" w:space="0" w:color="000000"/>
            </w:tcBorders>
            <w:shd w:val="clear" w:color="auto" w:fill="9BC2E6"/>
            <w:vAlign w:val="center"/>
          </w:tcPr>
          <w:p w14:paraId="1B0D350E" w14:textId="77777777" w:rsidR="00B50826" w:rsidRPr="008500BE" w:rsidRDefault="00006AE2">
            <w:pPr>
              <w:jc w:val="center"/>
              <w:rPr>
                <w:rFonts w:ascii="Arial" w:eastAsia="Arial" w:hAnsi="Arial" w:cs="Arial"/>
                <w:b/>
                <w:color w:val="002060"/>
                <w:sz w:val="20"/>
                <w:szCs w:val="20"/>
              </w:rPr>
            </w:pPr>
            <w:r w:rsidRPr="008500BE">
              <w:rPr>
                <w:rFonts w:ascii="Arial" w:eastAsia="Arial" w:hAnsi="Arial" w:cs="Arial"/>
                <w:b/>
                <w:color w:val="002060"/>
                <w:sz w:val="20"/>
                <w:szCs w:val="20"/>
              </w:rPr>
              <w:t xml:space="preserve"> VAB </w:t>
            </w:r>
          </w:p>
        </w:tc>
        <w:tc>
          <w:tcPr>
            <w:tcW w:w="0" w:type="auto"/>
            <w:tcBorders>
              <w:top w:val="single" w:sz="4" w:space="0" w:color="000000"/>
              <w:left w:val="nil"/>
              <w:bottom w:val="single" w:sz="4" w:space="0" w:color="000000"/>
              <w:right w:val="single" w:sz="4" w:space="0" w:color="000000"/>
            </w:tcBorders>
            <w:shd w:val="clear" w:color="auto" w:fill="9BC2E6"/>
            <w:vAlign w:val="center"/>
          </w:tcPr>
          <w:p w14:paraId="64B92670" w14:textId="77777777" w:rsidR="00B50826" w:rsidRPr="008500BE" w:rsidRDefault="00006AE2">
            <w:pPr>
              <w:jc w:val="center"/>
              <w:rPr>
                <w:rFonts w:ascii="Arial" w:eastAsia="Arial" w:hAnsi="Arial" w:cs="Arial"/>
                <w:b/>
                <w:color w:val="002060"/>
                <w:sz w:val="20"/>
                <w:szCs w:val="20"/>
              </w:rPr>
            </w:pPr>
            <w:r w:rsidRPr="008500BE">
              <w:rPr>
                <w:rFonts w:ascii="Arial" w:eastAsia="Arial" w:hAnsi="Arial" w:cs="Arial"/>
                <w:b/>
                <w:color w:val="002060"/>
                <w:sz w:val="20"/>
                <w:szCs w:val="20"/>
              </w:rPr>
              <w:t xml:space="preserve"> Estructura % </w:t>
            </w:r>
          </w:p>
        </w:tc>
        <w:tc>
          <w:tcPr>
            <w:tcW w:w="0" w:type="auto"/>
            <w:tcBorders>
              <w:top w:val="single" w:sz="4" w:space="0" w:color="000000"/>
              <w:left w:val="nil"/>
              <w:bottom w:val="single" w:sz="4" w:space="0" w:color="000000"/>
              <w:right w:val="single" w:sz="4" w:space="0" w:color="000000"/>
            </w:tcBorders>
            <w:shd w:val="clear" w:color="auto" w:fill="9BC2E6"/>
            <w:vAlign w:val="center"/>
          </w:tcPr>
          <w:p w14:paraId="2E04740D" w14:textId="77777777" w:rsidR="00B50826" w:rsidRPr="008500BE" w:rsidRDefault="00006AE2">
            <w:pPr>
              <w:jc w:val="center"/>
              <w:rPr>
                <w:rFonts w:ascii="Arial" w:eastAsia="Arial" w:hAnsi="Arial" w:cs="Arial"/>
                <w:b/>
                <w:color w:val="002060"/>
                <w:sz w:val="20"/>
                <w:szCs w:val="20"/>
              </w:rPr>
            </w:pPr>
            <w:r w:rsidRPr="008500BE">
              <w:rPr>
                <w:rFonts w:ascii="Arial" w:eastAsia="Arial" w:hAnsi="Arial" w:cs="Arial"/>
                <w:b/>
                <w:color w:val="002060"/>
                <w:sz w:val="20"/>
                <w:szCs w:val="20"/>
              </w:rPr>
              <w:t xml:space="preserve"> Crecimiento promedio Anual 2007-2017 </w:t>
            </w:r>
          </w:p>
        </w:tc>
      </w:tr>
      <w:tr w:rsidR="00B50826" w14:paraId="68A1FCB0"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150B02BC"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Agricultura, Ganadería Caza y Silvicultura</w:t>
            </w:r>
          </w:p>
        </w:tc>
        <w:tc>
          <w:tcPr>
            <w:tcW w:w="0" w:type="auto"/>
            <w:tcBorders>
              <w:top w:val="nil"/>
              <w:left w:val="nil"/>
              <w:bottom w:val="single" w:sz="4" w:space="0" w:color="000000"/>
              <w:right w:val="single" w:sz="4" w:space="0" w:color="000000"/>
            </w:tcBorders>
            <w:shd w:val="clear" w:color="auto" w:fill="FFFFFF"/>
            <w:vAlign w:val="center"/>
          </w:tcPr>
          <w:p w14:paraId="62749FC4"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1,000,000.00 </w:t>
            </w:r>
          </w:p>
        </w:tc>
        <w:tc>
          <w:tcPr>
            <w:tcW w:w="0" w:type="auto"/>
            <w:tcBorders>
              <w:top w:val="nil"/>
              <w:left w:val="nil"/>
              <w:bottom w:val="single" w:sz="4" w:space="0" w:color="000000"/>
              <w:right w:val="single" w:sz="4" w:space="0" w:color="000000"/>
            </w:tcBorders>
            <w:shd w:val="clear" w:color="auto" w:fill="FFFFFF"/>
            <w:vAlign w:val="center"/>
          </w:tcPr>
          <w:p w14:paraId="2F220842"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17.20 </w:t>
            </w:r>
          </w:p>
        </w:tc>
        <w:tc>
          <w:tcPr>
            <w:tcW w:w="0" w:type="auto"/>
            <w:tcBorders>
              <w:top w:val="nil"/>
              <w:left w:val="nil"/>
              <w:bottom w:val="single" w:sz="4" w:space="0" w:color="000000"/>
              <w:right w:val="single" w:sz="4" w:space="0" w:color="000000"/>
            </w:tcBorders>
            <w:shd w:val="clear" w:color="auto" w:fill="FFFFFF"/>
            <w:vAlign w:val="center"/>
          </w:tcPr>
          <w:p w14:paraId="47A38E96"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3.10 </w:t>
            </w:r>
          </w:p>
        </w:tc>
      </w:tr>
      <w:tr w:rsidR="00B50826" w14:paraId="47FC59C6"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2967D0DE"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Pesca y Acuicultura</w:t>
            </w:r>
          </w:p>
        </w:tc>
        <w:tc>
          <w:tcPr>
            <w:tcW w:w="0" w:type="auto"/>
            <w:tcBorders>
              <w:top w:val="nil"/>
              <w:left w:val="nil"/>
              <w:bottom w:val="single" w:sz="4" w:space="0" w:color="000000"/>
              <w:right w:val="single" w:sz="4" w:space="0" w:color="000000"/>
            </w:tcBorders>
            <w:shd w:val="clear" w:color="auto" w:fill="FFFFFF"/>
            <w:vAlign w:val="center"/>
          </w:tcPr>
          <w:p w14:paraId="0EC4A1D4"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494.00 </w:t>
            </w:r>
          </w:p>
        </w:tc>
        <w:tc>
          <w:tcPr>
            <w:tcW w:w="0" w:type="auto"/>
            <w:tcBorders>
              <w:top w:val="nil"/>
              <w:left w:val="nil"/>
              <w:bottom w:val="single" w:sz="4" w:space="0" w:color="000000"/>
              <w:right w:val="single" w:sz="4" w:space="0" w:color="000000"/>
            </w:tcBorders>
            <w:shd w:val="clear" w:color="auto" w:fill="FFFFFF"/>
            <w:vAlign w:val="center"/>
          </w:tcPr>
          <w:p w14:paraId="2880F8F1"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0.17 </w:t>
            </w:r>
          </w:p>
        </w:tc>
        <w:tc>
          <w:tcPr>
            <w:tcW w:w="0" w:type="auto"/>
            <w:tcBorders>
              <w:top w:val="nil"/>
              <w:left w:val="nil"/>
              <w:bottom w:val="single" w:sz="4" w:space="0" w:color="000000"/>
              <w:right w:val="single" w:sz="4" w:space="0" w:color="000000"/>
            </w:tcBorders>
            <w:shd w:val="clear" w:color="auto" w:fill="FFFFFF"/>
            <w:vAlign w:val="center"/>
          </w:tcPr>
          <w:p w14:paraId="76DAEE7E"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7.40 </w:t>
            </w:r>
          </w:p>
        </w:tc>
      </w:tr>
      <w:tr w:rsidR="00B50826" w14:paraId="68B81C92"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370CE077"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Extracción de Petróleo, Gas y Minerales</w:t>
            </w:r>
          </w:p>
        </w:tc>
        <w:tc>
          <w:tcPr>
            <w:tcW w:w="0" w:type="auto"/>
            <w:tcBorders>
              <w:top w:val="nil"/>
              <w:left w:val="nil"/>
              <w:bottom w:val="single" w:sz="4" w:space="0" w:color="000000"/>
              <w:right w:val="single" w:sz="4" w:space="0" w:color="000000"/>
            </w:tcBorders>
            <w:shd w:val="clear" w:color="auto" w:fill="FFFFFF"/>
            <w:vAlign w:val="center"/>
          </w:tcPr>
          <w:p w14:paraId="040BFF6A"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539,462.00 </w:t>
            </w:r>
          </w:p>
        </w:tc>
        <w:tc>
          <w:tcPr>
            <w:tcW w:w="0" w:type="auto"/>
            <w:tcBorders>
              <w:top w:val="nil"/>
              <w:left w:val="nil"/>
              <w:bottom w:val="single" w:sz="4" w:space="0" w:color="000000"/>
              <w:right w:val="single" w:sz="4" w:space="0" w:color="000000"/>
            </w:tcBorders>
            <w:shd w:val="clear" w:color="auto" w:fill="FFFFFF"/>
            <w:vAlign w:val="center"/>
          </w:tcPr>
          <w:p w14:paraId="5B52323D"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9.30 </w:t>
            </w:r>
          </w:p>
        </w:tc>
        <w:tc>
          <w:tcPr>
            <w:tcW w:w="0" w:type="auto"/>
            <w:tcBorders>
              <w:top w:val="nil"/>
              <w:left w:val="nil"/>
              <w:bottom w:val="single" w:sz="4" w:space="0" w:color="000000"/>
              <w:right w:val="single" w:sz="4" w:space="0" w:color="000000"/>
            </w:tcBorders>
            <w:shd w:val="clear" w:color="auto" w:fill="FFFFFF"/>
            <w:vAlign w:val="center"/>
          </w:tcPr>
          <w:p w14:paraId="7B5E38DB"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7.90 </w:t>
            </w:r>
          </w:p>
        </w:tc>
      </w:tr>
      <w:tr w:rsidR="00B50826" w14:paraId="10EF7E4D" w14:textId="77777777" w:rsidTr="008500BE">
        <w:trPr>
          <w:trHeight w:val="91"/>
        </w:trPr>
        <w:tc>
          <w:tcPr>
            <w:tcW w:w="0" w:type="auto"/>
            <w:tcBorders>
              <w:top w:val="nil"/>
              <w:left w:val="single" w:sz="4" w:space="0" w:color="000000"/>
              <w:bottom w:val="single" w:sz="4" w:space="0" w:color="000000"/>
              <w:right w:val="single" w:sz="4" w:space="0" w:color="000000"/>
            </w:tcBorders>
            <w:shd w:val="clear" w:color="auto" w:fill="FFFFFF"/>
            <w:vAlign w:val="center"/>
          </w:tcPr>
          <w:p w14:paraId="7A2D0658"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Manufactura</w:t>
            </w:r>
          </w:p>
        </w:tc>
        <w:tc>
          <w:tcPr>
            <w:tcW w:w="0" w:type="auto"/>
            <w:tcBorders>
              <w:top w:val="nil"/>
              <w:left w:val="nil"/>
              <w:bottom w:val="single" w:sz="4" w:space="0" w:color="000000"/>
              <w:right w:val="single" w:sz="4" w:space="0" w:color="000000"/>
            </w:tcBorders>
            <w:shd w:val="clear" w:color="auto" w:fill="FFFFFF"/>
            <w:vAlign w:val="center"/>
          </w:tcPr>
          <w:p w14:paraId="2C596118"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352,094.00 </w:t>
            </w:r>
          </w:p>
        </w:tc>
        <w:tc>
          <w:tcPr>
            <w:tcW w:w="0" w:type="auto"/>
            <w:tcBorders>
              <w:top w:val="nil"/>
              <w:left w:val="nil"/>
              <w:bottom w:val="single" w:sz="4" w:space="0" w:color="000000"/>
              <w:right w:val="single" w:sz="4" w:space="0" w:color="000000"/>
            </w:tcBorders>
            <w:shd w:val="clear" w:color="auto" w:fill="FFFFFF"/>
            <w:vAlign w:val="center"/>
          </w:tcPr>
          <w:p w14:paraId="7BEEAAC2"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6.00 </w:t>
            </w:r>
          </w:p>
        </w:tc>
        <w:tc>
          <w:tcPr>
            <w:tcW w:w="0" w:type="auto"/>
            <w:tcBorders>
              <w:top w:val="nil"/>
              <w:left w:val="nil"/>
              <w:bottom w:val="single" w:sz="4" w:space="0" w:color="000000"/>
              <w:right w:val="single" w:sz="4" w:space="0" w:color="000000"/>
            </w:tcBorders>
            <w:shd w:val="clear" w:color="auto" w:fill="FFFFFF"/>
            <w:vAlign w:val="center"/>
          </w:tcPr>
          <w:p w14:paraId="0E19DAE7"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0.70 </w:t>
            </w:r>
          </w:p>
        </w:tc>
      </w:tr>
      <w:tr w:rsidR="00B50826" w14:paraId="2812FFF3"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4ECD1428"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Electricidad, Gas y Agua</w:t>
            </w:r>
          </w:p>
        </w:tc>
        <w:tc>
          <w:tcPr>
            <w:tcW w:w="0" w:type="auto"/>
            <w:tcBorders>
              <w:top w:val="nil"/>
              <w:left w:val="nil"/>
              <w:bottom w:val="single" w:sz="4" w:space="0" w:color="000000"/>
              <w:right w:val="single" w:sz="4" w:space="0" w:color="000000"/>
            </w:tcBorders>
            <w:shd w:val="clear" w:color="auto" w:fill="FFFFFF"/>
            <w:vAlign w:val="center"/>
          </w:tcPr>
          <w:p w14:paraId="2C8B279C"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315,453.00 </w:t>
            </w:r>
          </w:p>
        </w:tc>
        <w:tc>
          <w:tcPr>
            <w:tcW w:w="0" w:type="auto"/>
            <w:tcBorders>
              <w:top w:val="nil"/>
              <w:left w:val="nil"/>
              <w:bottom w:val="single" w:sz="4" w:space="0" w:color="000000"/>
              <w:right w:val="single" w:sz="4" w:space="0" w:color="000000"/>
            </w:tcBorders>
            <w:shd w:val="clear" w:color="auto" w:fill="FFFFFF"/>
            <w:vAlign w:val="center"/>
          </w:tcPr>
          <w:p w14:paraId="717B66C8"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5.40 </w:t>
            </w:r>
          </w:p>
        </w:tc>
        <w:tc>
          <w:tcPr>
            <w:tcW w:w="0" w:type="auto"/>
            <w:tcBorders>
              <w:top w:val="nil"/>
              <w:left w:val="nil"/>
              <w:bottom w:val="single" w:sz="4" w:space="0" w:color="000000"/>
              <w:right w:val="single" w:sz="4" w:space="0" w:color="000000"/>
            </w:tcBorders>
            <w:shd w:val="clear" w:color="auto" w:fill="FFFFFF"/>
            <w:vAlign w:val="center"/>
          </w:tcPr>
          <w:p w14:paraId="26230211"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30.10 </w:t>
            </w:r>
          </w:p>
        </w:tc>
      </w:tr>
      <w:tr w:rsidR="00B50826" w14:paraId="2C9A16A5"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7BF1C279"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Construcción</w:t>
            </w:r>
          </w:p>
        </w:tc>
        <w:tc>
          <w:tcPr>
            <w:tcW w:w="0" w:type="auto"/>
            <w:tcBorders>
              <w:top w:val="nil"/>
              <w:left w:val="nil"/>
              <w:bottom w:val="single" w:sz="4" w:space="0" w:color="000000"/>
              <w:right w:val="single" w:sz="4" w:space="0" w:color="000000"/>
            </w:tcBorders>
            <w:shd w:val="clear" w:color="auto" w:fill="FFFFFF"/>
            <w:vAlign w:val="center"/>
          </w:tcPr>
          <w:p w14:paraId="04BE9AD1"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585,953.00 </w:t>
            </w:r>
          </w:p>
        </w:tc>
        <w:tc>
          <w:tcPr>
            <w:tcW w:w="0" w:type="auto"/>
            <w:tcBorders>
              <w:top w:val="nil"/>
              <w:left w:val="nil"/>
              <w:bottom w:val="single" w:sz="4" w:space="0" w:color="000000"/>
              <w:right w:val="single" w:sz="4" w:space="0" w:color="000000"/>
            </w:tcBorders>
            <w:shd w:val="clear" w:color="auto" w:fill="FFFFFF"/>
            <w:vAlign w:val="center"/>
          </w:tcPr>
          <w:p w14:paraId="1F45E4F9"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10.10 </w:t>
            </w:r>
          </w:p>
        </w:tc>
        <w:tc>
          <w:tcPr>
            <w:tcW w:w="0" w:type="auto"/>
            <w:tcBorders>
              <w:top w:val="nil"/>
              <w:left w:val="nil"/>
              <w:bottom w:val="single" w:sz="4" w:space="0" w:color="000000"/>
              <w:right w:val="single" w:sz="4" w:space="0" w:color="000000"/>
            </w:tcBorders>
            <w:shd w:val="clear" w:color="auto" w:fill="FFFFFF"/>
            <w:vAlign w:val="center"/>
          </w:tcPr>
          <w:p w14:paraId="576DDBE7"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12.70 </w:t>
            </w:r>
          </w:p>
        </w:tc>
      </w:tr>
      <w:tr w:rsidR="00B50826" w14:paraId="137616D9"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2E6376BC"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Comercio</w:t>
            </w:r>
          </w:p>
        </w:tc>
        <w:tc>
          <w:tcPr>
            <w:tcW w:w="0" w:type="auto"/>
            <w:tcBorders>
              <w:top w:val="nil"/>
              <w:left w:val="nil"/>
              <w:bottom w:val="single" w:sz="4" w:space="0" w:color="000000"/>
              <w:right w:val="single" w:sz="4" w:space="0" w:color="000000"/>
            </w:tcBorders>
            <w:shd w:val="clear" w:color="auto" w:fill="FFFFFF"/>
            <w:vAlign w:val="center"/>
          </w:tcPr>
          <w:p w14:paraId="38CEC604"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659,452.00 </w:t>
            </w:r>
          </w:p>
        </w:tc>
        <w:tc>
          <w:tcPr>
            <w:tcW w:w="0" w:type="auto"/>
            <w:tcBorders>
              <w:top w:val="nil"/>
              <w:left w:val="nil"/>
              <w:bottom w:val="single" w:sz="4" w:space="0" w:color="000000"/>
              <w:right w:val="single" w:sz="4" w:space="0" w:color="000000"/>
            </w:tcBorders>
            <w:shd w:val="clear" w:color="auto" w:fill="FFFFFF"/>
            <w:vAlign w:val="center"/>
          </w:tcPr>
          <w:p w14:paraId="6F8F5860"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11.13 </w:t>
            </w:r>
          </w:p>
        </w:tc>
        <w:tc>
          <w:tcPr>
            <w:tcW w:w="0" w:type="auto"/>
            <w:tcBorders>
              <w:top w:val="nil"/>
              <w:left w:val="nil"/>
              <w:bottom w:val="single" w:sz="4" w:space="0" w:color="000000"/>
              <w:right w:val="single" w:sz="4" w:space="0" w:color="000000"/>
            </w:tcBorders>
            <w:shd w:val="clear" w:color="auto" w:fill="FFFFFF"/>
            <w:vAlign w:val="center"/>
          </w:tcPr>
          <w:p w14:paraId="693E3B4E"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5.20 </w:t>
            </w:r>
          </w:p>
        </w:tc>
      </w:tr>
      <w:tr w:rsidR="00B50826" w14:paraId="4C562EB1"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345751CF"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lastRenderedPageBreak/>
              <w:t>Transporte, almacén, correo y mensajería</w:t>
            </w:r>
          </w:p>
        </w:tc>
        <w:tc>
          <w:tcPr>
            <w:tcW w:w="0" w:type="auto"/>
            <w:tcBorders>
              <w:top w:val="nil"/>
              <w:left w:val="nil"/>
              <w:bottom w:val="single" w:sz="4" w:space="0" w:color="000000"/>
              <w:right w:val="single" w:sz="4" w:space="0" w:color="000000"/>
            </w:tcBorders>
            <w:shd w:val="clear" w:color="auto" w:fill="FFFFFF"/>
            <w:vAlign w:val="center"/>
          </w:tcPr>
          <w:p w14:paraId="14EA36E9"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357,961.00 </w:t>
            </w:r>
          </w:p>
        </w:tc>
        <w:tc>
          <w:tcPr>
            <w:tcW w:w="0" w:type="auto"/>
            <w:tcBorders>
              <w:top w:val="nil"/>
              <w:left w:val="nil"/>
              <w:bottom w:val="single" w:sz="4" w:space="0" w:color="000000"/>
              <w:right w:val="single" w:sz="4" w:space="0" w:color="000000"/>
            </w:tcBorders>
            <w:shd w:val="clear" w:color="auto" w:fill="FFFFFF"/>
            <w:vAlign w:val="center"/>
          </w:tcPr>
          <w:p w14:paraId="784951C5"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6.10 </w:t>
            </w:r>
          </w:p>
        </w:tc>
        <w:tc>
          <w:tcPr>
            <w:tcW w:w="0" w:type="auto"/>
            <w:tcBorders>
              <w:top w:val="nil"/>
              <w:left w:val="nil"/>
              <w:bottom w:val="single" w:sz="4" w:space="0" w:color="000000"/>
              <w:right w:val="single" w:sz="4" w:space="0" w:color="000000"/>
            </w:tcBorders>
            <w:shd w:val="clear" w:color="auto" w:fill="FFFFFF"/>
            <w:vAlign w:val="center"/>
          </w:tcPr>
          <w:p w14:paraId="2FD2FD8F"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5.50 </w:t>
            </w:r>
          </w:p>
        </w:tc>
      </w:tr>
      <w:tr w:rsidR="00B50826" w14:paraId="5D1826B5"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214A0AAE"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Alojamiento y restaurant</w:t>
            </w:r>
          </w:p>
        </w:tc>
        <w:tc>
          <w:tcPr>
            <w:tcW w:w="0" w:type="auto"/>
            <w:tcBorders>
              <w:top w:val="nil"/>
              <w:left w:val="nil"/>
              <w:bottom w:val="single" w:sz="4" w:space="0" w:color="000000"/>
              <w:right w:val="single" w:sz="4" w:space="0" w:color="000000"/>
            </w:tcBorders>
            <w:shd w:val="clear" w:color="auto" w:fill="FFFFFF"/>
            <w:vAlign w:val="center"/>
          </w:tcPr>
          <w:p w14:paraId="3088688A"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149,599.00 </w:t>
            </w:r>
          </w:p>
        </w:tc>
        <w:tc>
          <w:tcPr>
            <w:tcW w:w="0" w:type="auto"/>
            <w:tcBorders>
              <w:top w:val="nil"/>
              <w:left w:val="nil"/>
              <w:bottom w:val="single" w:sz="4" w:space="0" w:color="000000"/>
              <w:right w:val="single" w:sz="4" w:space="0" w:color="000000"/>
            </w:tcBorders>
            <w:shd w:val="clear" w:color="auto" w:fill="FFFFFF"/>
            <w:vAlign w:val="center"/>
          </w:tcPr>
          <w:p w14:paraId="7C1F39DD"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2.60 </w:t>
            </w:r>
          </w:p>
        </w:tc>
        <w:tc>
          <w:tcPr>
            <w:tcW w:w="0" w:type="auto"/>
            <w:tcBorders>
              <w:top w:val="nil"/>
              <w:left w:val="nil"/>
              <w:bottom w:val="single" w:sz="4" w:space="0" w:color="000000"/>
              <w:right w:val="single" w:sz="4" w:space="0" w:color="000000"/>
            </w:tcBorders>
            <w:shd w:val="clear" w:color="auto" w:fill="FFFFFF"/>
            <w:vAlign w:val="center"/>
          </w:tcPr>
          <w:p w14:paraId="54FBDB47"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5.60 </w:t>
            </w:r>
          </w:p>
        </w:tc>
      </w:tr>
      <w:tr w:rsidR="00B50826" w14:paraId="5C780ADE"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0291C786"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Telecom, </w:t>
            </w:r>
            <w:proofErr w:type="spellStart"/>
            <w:r w:rsidRPr="008500BE">
              <w:rPr>
                <w:rFonts w:ascii="Arial" w:eastAsia="Arial" w:hAnsi="Arial" w:cs="Arial"/>
                <w:color w:val="002060"/>
                <w:sz w:val="16"/>
                <w:szCs w:val="16"/>
              </w:rPr>
              <w:t>Serv</w:t>
            </w:r>
            <w:proofErr w:type="spellEnd"/>
            <w:r w:rsidRPr="008500BE">
              <w:rPr>
                <w:rFonts w:ascii="Arial" w:eastAsia="Arial" w:hAnsi="Arial" w:cs="Arial"/>
                <w:color w:val="002060"/>
                <w:sz w:val="16"/>
                <w:szCs w:val="16"/>
              </w:rPr>
              <w:t xml:space="preserve">. de </w:t>
            </w:r>
            <w:proofErr w:type="spellStart"/>
            <w:r w:rsidRPr="008500BE">
              <w:rPr>
                <w:rFonts w:ascii="Arial" w:eastAsia="Arial" w:hAnsi="Arial" w:cs="Arial"/>
                <w:color w:val="002060"/>
                <w:sz w:val="16"/>
                <w:szCs w:val="16"/>
              </w:rPr>
              <w:t>Inf</w:t>
            </w:r>
            <w:proofErr w:type="spellEnd"/>
            <w:r w:rsidRPr="008500BE">
              <w:rPr>
                <w:rFonts w:ascii="Arial" w:eastAsia="Arial" w:hAnsi="Arial" w:cs="Arial"/>
                <w:color w:val="002060"/>
                <w:sz w:val="16"/>
                <w:szCs w:val="16"/>
              </w:rPr>
              <w:t>. y otros</w:t>
            </w:r>
          </w:p>
        </w:tc>
        <w:tc>
          <w:tcPr>
            <w:tcW w:w="0" w:type="auto"/>
            <w:tcBorders>
              <w:top w:val="nil"/>
              <w:left w:val="nil"/>
              <w:bottom w:val="single" w:sz="4" w:space="0" w:color="000000"/>
              <w:right w:val="single" w:sz="4" w:space="0" w:color="000000"/>
            </w:tcBorders>
            <w:shd w:val="clear" w:color="auto" w:fill="FFFFFF"/>
            <w:vAlign w:val="center"/>
          </w:tcPr>
          <w:p w14:paraId="2DA00405"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217,341.00 </w:t>
            </w:r>
          </w:p>
        </w:tc>
        <w:tc>
          <w:tcPr>
            <w:tcW w:w="0" w:type="auto"/>
            <w:tcBorders>
              <w:top w:val="nil"/>
              <w:left w:val="nil"/>
              <w:bottom w:val="single" w:sz="4" w:space="0" w:color="000000"/>
              <w:right w:val="single" w:sz="4" w:space="0" w:color="000000"/>
            </w:tcBorders>
            <w:shd w:val="clear" w:color="auto" w:fill="FFFFFF"/>
            <w:vAlign w:val="center"/>
          </w:tcPr>
          <w:p w14:paraId="6EC71154"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3.70 </w:t>
            </w:r>
          </w:p>
        </w:tc>
        <w:tc>
          <w:tcPr>
            <w:tcW w:w="0" w:type="auto"/>
            <w:tcBorders>
              <w:top w:val="nil"/>
              <w:left w:val="nil"/>
              <w:bottom w:val="single" w:sz="4" w:space="0" w:color="000000"/>
              <w:right w:val="single" w:sz="4" w:space="0" w:color="000000"/>
            </w:tcBorders>
            <w:shd w:val="clear" w:color="auto" w:fill="FFFFFF"/>
            <w:vAlign w:val="center"/>
          </w:tcPr>
          <w:p w14:paraId="65F0A85E"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12.80 </w:t>
            </w:r>
          </w:p>
        </w:tc>
      </w:tr>
      <w:tr w:rsidR="00B50826" w14:paraId="222A32A7"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0445D5FF" w14:textId="77777777" w:rsidR="00B50826" w:rsidRPr="008500BE" w:rsidRDefault="00006AE2">
            <w:pPr>
              <w:rPr>
                <w:rFonts w:ascii="Arial" w:eastAsia="Arial" w:hAnsi="Arial" w:cs="Arial"/>
                <w:color w:val="002060"/>
                <w:sz w:val="16"/>
                <w:szCs w:val="16"/>
              </w:rPr>
            </w:pPr>
            <w:proofErr w:type="spellStart"/>
            <w:r w:rsidRPr="008500BE">
              <w:rPr>
                <w:rFonts w:ascii="Arial" w:eastAsia="Arial" w:hAnsi="Arial" w:cs="Arial"/>
                <w:color w:val="002060"/>
                <w:sz w:val="16"/>
                <w:szCs w:val="16"/>
              </w:rPr>
              <w:t>Adm</w:t>
            </w:r>
            <w:proofErr w:type="spellEnd"/>
            <w:r w:rsidRPr="008500BE">
              <w:rPr>
                <w:rFonts w:ascii="Arial" w:eastAsia="Arial" w:hAnsi="Arial" w:cs="Arial"/>
                <w:color w:val="002060"/>
                <w:sz w:val="16"/>
                <w:szCs w:val="16"/>
              </w:rPr>
              <w:t>. Pública y defensa</w:t>
            </w:r>
          </w:p>
        </w:tc>
        <w:tc>
          <w:tcPr>
            <w:tcW w:w="0" w:type="auto"/>
            <w:tcBorders>
              <w:top w:val="nil"/>
              <w:left w:val="nil"/>
              <w:bottom w:val="single" w:sz="4" w:space="0" w:color="000000"/>
              <w:right w:val="single" w:sz="4" w:space="0" w:color="000000"/>
            </w:tcBorders>
            <w:shd w:val="clear" w:color="auto" w:fill="FFFFFF"/>
            <w:vAlign w:val="center"/>
          </w:tcPr>
          <w:p w14:paraId="062F47F8"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569,318.00 </w:t>
            </w:r>
          </w:p>
        </w:tc>
        <w:tc>
          <w:tcPr>
            <w:tcW w:w="0" w:type="auto"/>
            <w:tcBorders>
              <w:top w:val="nil"/>
              <w:left w:val="nil"/>
              <w:bottom w:val="single" w:sz="4" w:space="0" w:color="000000"/>
              <w:right w:val="single" w:sz="4" w:space="0" w:color="000000"/>
            </w:tcBorders>
            <w:shd w:val="clear" w:color="auto" w:fill="FFFFFF"/>
            <w:vAlign w:val="center"/>
          </w:tcPr>
          <w:p w14:paraId="5EE8AEA3"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9.80 </w:t>
            </w:r>
          </w:p>
        </w:tc>
        <w:tc>
          <w:tcPr>
            <w:tcW w:w="0" w:type="auto"/>
            <w:tcBorders>
              <w:top w:val="nil"/>
              <w:left w:val="nil"/>
              <w:bottom w:val="single" w:sz="4" w:space="0" w:color="000000"/>
              <w:right w:val="single" w:sz="4" w:space="0" w:color="000000"/>
            </w:tcBorders>
            <w:shd w:val="clear" w:color="auto" w:fill="FFFFFF"/>
            <w:vAlign w:val="center"/>
          </w:tcPr>
          <w:p w14:paraId="1F80903D"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7.60 </w:t>
            </w:r>
          </w:p>
        </w:tc>
      </w:tr>
      <w:tr w:rsidR="00B50826" w14:paraId="5A00C627"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center"/>
          </w:tcPr>
          <w:p w14:paraId="47E5F6E0"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Otros servicios</w:t>
            </w:r>
          </w:p>
        </w:tc>
        <w:tc>
          <w:tcPr>
            <w:tcW w:w="0" w:type="auto"/>
            <w:tcBorders>
              <w:top w:val="nil"/>
              <w:left w:val="nil"/>
              <w:bottom w:val="single" w:sz="4" w:space="0" w:color="000000"/>
              <w:right w:val="single" w:sz="4" w:space="0" w:color="000000"/>
            </w:tcBorders>
            <w:shd w:val="clear" w:color="auto" w:fill="FFFFFF"/>
            <w:vAlign w:val="center"/>
          </w:tcPr>
          <w:p w14:paraId="5C3CD0C8"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1,076,311.00 </w:t>
            </w:r>
          </w:p>
        </w:tc>
        <w:tc>
          <w:tcPr>
            <w:tcW w:w="0" w:type="auto"/>
            <w:tcBorders>
              <w:top w:val="nil"/>
              <w:left w:val="nil"/>
              <w:bottom w:val="single" w:sz="4" w:space="0" w:color="000000"/>
              <w:right w:val="single" w:sz="4" w:space="0" w:color="000000"/>
            </w:tcBorders>
            <w:shd w:val="clear" w:color="auto" w:fill="FFFFFF"/>
            <w:vAlign w:val="center"/>
          </w:tcPr>
          <w:p w14:paraId="24226798" w14:textId="77777777" w:rsidR="00B50826" w:rsidRPr="008500BE" w:rsidRDefault="00006AE2" w:rsidP="008500BE">
            <w:pPr>
              <w:jc w:val="right"/>
              <w:rPr>
                <w:rFonts w:ascii="Arial" w:eastAsia="Arial" w:hAnsi="Arial" w:cs="Arial"/>
                <w:color w:val="002060"/>
                <w:sz w:val="16"/>
                <w:szCs w:val="16"/>
              </w:rPr>
            </w:pPr>
            <w:r w:rsidRPr="008500BE">
              <w:rPr>
                <w:rFonts w:ascii="Arial" w:eastAsia="Arial" w:hAnsi="Arial" w:cs="Arial"/>
                <w:color w:val="002060"/>
                <w:sz w:val="16"/>
                <w:szCs w:val="16"/>
              </w:rPr>
              <w:t xml:space="preserve">               18.50 </w:t>
            </w:r>
          </w:p>
        </w:tc>
        <w:tc>
          <w:tcPr>
            <w:tcW w:w="0" w:type="auto"/>
            <w:tcBorders>
              <w:top w:val="nil"/>
              <w:left w:val="nil"/>
              <w:bottom w:val="single" w:sz="4" w:space="0" w:color="000000"/>
              <w:right w:val="single" w:sz="4" w:space="0" w:color="000000"/>
            </w:tcBorders>
            <w:shd w:val="clear" w:color="auto" w:fill="FFFFFF"/>
            <w:vAlign w:val="center"/>
          </w:tcPr>
          <w:p w14:paraId="56ECEB03"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 xml:space="preserve">                           5.10 </w:t>
            </w:r>
          </w:p>
        </w:tc>
      </w:tr>
      <w:tr w:rsidR="00B50826" w14:paraId="73D161AB" w14:textId="77777777" w:rsidTr="008500BE">
        <w:trPr>
          <w:trHeight w:val="97"/>
        </w:trPr>
        <w:tc>
          <w:tcPr>
            <w:tcW w:w="0" w:type="auto"/>
            <w:tcBorders>
              <w:top w:val="nil"/>
              <w:left w:val="single" w:sz="4" w:space="0" w:color="000000"/>
              <w:bottom w:val="single" w:sz="4" w:space="0" w:color="000000"/>
              <w:right w:val="single" w:sz="4" w:space="0" w:color="000000"/>
            </w:tcBorders>
            <w:shd w:val="clear" w:color="auto" w:fill="FFFFFF"/>
            <w:vAlign w:val="center"/>
          </w:tcPr>
          <w:p w14:paraId="6ABEADDE" w14:textId="77777777" w:rsidR="00B50826" w:rsidRPr="008500BE" w:rsidRDefault="00006AE2">
            <w:pPr>
              <w:rPr>
                <w:rFonts w:ascii="Arial" w:eastAsia="Arial" w:hAnsi="Arial" w:cs="Arial"/>
                <w:color w:val="002060"/>
                <w:sz w:val="16"/>
                <w:szCs w:val="16"/>
              </w:rPr>
            </w:pPr>
            <w:r w:rsidRPr="008500BE">
              <w:rPr>
                <w:rFonts w:ascii="Arial" w:eastAsia="Arial" w:hAnsi="Arial" w:cs="Arial"/>
                <w:color w:val="002060"/>
                <w:sz w:val="16"/>
                <w:szCs w:val="16"/>
              </w:rPr>
              <w:t>Valor Agregado Bruto</w:t>
            </w:r>
          </w:p>
        </w:tc>
        <w:tc>
          <w:tcPr>
            <w:tcW w:w="0" w:type="auto"/>
            <w:tcBorders>
              <w:top w:val="nil"/>
              <w:left w:val="nil"/>
              <w:bottom w:val="single" w:sz="4" w:space="0" w:color="000000"/>
              <w:right w:val="single" w:sz="4" w:space="0" w:color="000000"/>
            </w:tcBorders>
            <w:shd w:val="clear" w:color="auto" w:fill="FFFFFF"/>
            <w:vAlign w:val="center"/>
          </w:tcPr>
          <w:p w14:paraId="30210679" w14:textId="77777777" w:rsidR="00B50826" w:rsidRPr="008500BE" w:rsidRDefault="00006AE2" w:rsidP="008500BE">
            <w:pPr>
              <w:jc w:val="right"/>
              <w:rPr>
                <w:rFonts w:ascii="Arial" w:eastAsia="Arial" w:hAnsi="Arial" w:cs="Arial"/>
                <w:b/>
                <w:color w:val="002060"/>
                <w:sz w:val="16"/>
                <w:szCs w:val="16"/>
              </w:rPr>
            </w:pPr>
            <w:r w:rsidRPr="008500BE">
              <w:rPr>
                <w:rFonts w:ascii="Arial" w:eastAsia="Arial" w:hAnsi="Arial" w:cs="Arial"/>
                <w:b/>
                <w:color w:val="002060"/>
                <w:sz w:val="16"/>
                <w:szCs w:val="16"/>
              </w:rPr>
              <w:t xml:space="preserve">    5,823,438.00 </w:t>
            </w:r>
          </w:p>
        </w:tc>
        <w:tc>
          <w:tcPr>
            <w:tcW w:w="0" w:type="auto"/>
            <w:tcBorders>
              <w:top w:val="nil"/>
              <w:left w:val="nil"/>
              <w:bottom w:val="single" w:sz="4" w:space="0" w:color="000000"/>
              <w:right w:val="single" w:sz="4" w:space="0" w:color="000000"/>
            </w:tcBorders>
            <w:shd w:val="clear" w:color="auto" w:fill="FFFFFF"/>
            <w:vAlign w:val="center"/>
          </w:tcPr>
          <w:p w14:paraId="7E022E37" w14:textId="77777777" w:rsidR="00B50826" w:rsidRPr="008500BE" w:rsidRDefault="00006AE2" w:rsidP="008500BE">
            <w:pPr>
              <w:jc w:val="right"/>
              <w:rPr>
                <w:rFonts w:ascii="Arial" w:eastAsia="Arial" w:hAnsi="Arial" w:cs="Arial"/>
                <w:b/>
                <w:color w:val="002060"/>
                <w:sz w:val="16"/>
                <w:szCs w:val="16"/>
              </w:rPr>
            </w:pPr>
            <w:r w:rsidRPr="008500BE">
              <w:rPr>
                <w:rFonts w:ascii="Arial" w:eastAsia="Arial" w:hAnsi="Arial" w:cs="Arial"/>
                <w:b/>
                <w:color w:val="002060"/>
                <w:sz w:val="16"/>
                <w:szCs w:val="16"/>
              </w:rPr>
              <w:t xml:space="preserve">             100.00 </w:t>
            </w:r>
          </w:p>
        </w:tc>
        <w:tc>
          <w:tcPr>
            <w:tcW w:w="0" w:type="auto"/>
            <w:tcBorders>
              <w:top w:val="nil"/>
              <w:left w:val="nil"/>
              <w:bottom w:val="single" w:sz="4" w:space="0" w:color="000000"/>
              <w:right w:val="single" w:sz="4" w:space="0" w:color="000000"/>
            </w:tcBorders>
            <w:shd w:val="clear" w:color="auto" w:fill="FFFFFF"/>
            <w:vAlign w:val="center"/>
          </w:tcPr>
          <w:p w14:paraId="34B3E127" w14:textId="77777777" w:rsidR="00B50826" w:rsidRPr="008500BE" w:rsidRDefault="00006AE2">
            <w:pPr>
              <w:rPr>
                <w:rFonts w:ascii="Arial" w:eastAsia="Arial" w:hAnsi="Arial" w:cs="Arial"/>
                <w:b/>
                <w:color w:val="002060"/>
                <w:sz w:val="16"/>
                <w:szCs w:val="16"/>
              </w:rPr>
            </w:pPr>
            <w:r w:rsidRPr="008500BE">
              <w:rPr>
                <w:rFonts w:ascii="Arial" w:eastAsia="Arial" w:hAnsi="Arial" w:cs="Arial"/>
                <w:b/>
                <w:color w:val="002060"/>
                <w:sz w:val="16"/>
                <w:szCs w:val="16"/>
              </w:rPr>
              <w:t xml:space="preserve">                           6.20 </w:t>
            </w:r>
          </w:p>
        </w:tc>
      </w:tr>
      <w:tr w:rsidR="00B50826" w14:paraId="0206AC84" w14:textId="77777777">
        <w:trPr>
          <w:trHeight w:val="240"/>
        </w:trPr>
        <w:tc>
          <w:tcPr>
            <w:tcW w:w="0" w:type="auto"/>
            <w:tcBorders>
              <w:top w:val="nil"/>
              <w:left w:val="nil"/>
              <w:bottom w:val="nil"/>
              <w:right w:val="nil"/>
            </w:tcBorders>
            <w:shd w:val="clear" w:color="auto" w:fill="FFFFFF"/>
            <w:vAlign w:val="center"/>
          </w:tcPr>
          <w:p w14:paraId="429CC86B" w14:textId="77777777" w:rsidR="00B50826" w:rsidRDefault="00006AE2">
            <w:pPr>
              <w:ind w:hanging="75"/>
              <w:rPr>
                <w:rFonts w:ascii="Arial" w:eastAsia="Arial" w:hAnsi="Arial" w:cs="Arial"/>
                <w:color w:val="002060"/>
                <w:sz w:val="16"/>
                <w:szCs w:val="16"/>
              </w:rPr>
            </w:pPr>
            <w:r>
              <w:rPr>
                <w:rFonts w:ascii="Arial" w:eastAsia="Arial" w:hAnsi="Arial" w:cs="Arial"/>
                <w:color w:val="002060"/>
                <w:sz w:val="16"/>
                <w:szCs w:val="16"/>
              </w:rPr>
              <w:t>Fuente: INEI.</w:t>
            </w:r>
          </w:p>
        </w:tc>
        <w:tc>
          <w:tcPr>
            <w:tcW w:w="0" w:type="auto"/>
            <w:tcBorders>
              <w:top w:val="nil"/>
              <w:left w:val="nil"/>
              <w:bottom w:val="nil"/>
              <w:right w:val="nil"/>
            </w:tcBorders>
            <w:shd w:val="clear" w:color="auto" w:fill="FFFFFF"/>
            <w:vAlign w:val="center"/>
          </w:tcPr>
          <w:p w14:paraId="13C18EE9" w14:textId="77777777" w:rsidR="00B50826" w:rsidRDefault="00006AE2">
            <w:pPr>
              <w:rPr>
                <w:rFonts w:ascii="Arial" w:eastAsia="Arial" w:hAnsi="Arial" w:cs="Arial"/>
                <w:color w:val="002060"/>
                <w:sz w:val="16"/>
                <w:szCs w:val="16"/>
              </w:rPr>
            </w:pPr>
            <w:r>
              <w:rPr>
                <w:rFonts w:ascii="Arial" w:eastAsia="Arial" w:hAnsi="Arial" w:cs="Arial"/>
                <w:color w:val="002060"/>
                <w:sz w:val="16"/>
                <w:szCs w:val="16"/>
              </w:rPr>
              <w:t> </w:t>
            </w:r>
          </w:p>
        </w:tc>
        <w:tc>
          <w:tcPr>
            <w:tcW w:w="0" w:type="auto"/>
            <w:tcBorders>
              <w:top w:val="nil"/>
              <w:left w:val="nil"/>
              <w:bottom w:val="nil"/>
              <w:right w:val="nil"/>
            </w:tcBorders>
            <w:shd w:val="clear" w:color="auto" w:fill="FFFFFF"/>
            <w:vAlign w:val="center"/>
          </w:tcPr>
          <w:p w14:paraId="0394328D" w14:textId="77777777" w:rsidR="00B50826" w:rsidRDefault="00006AE2">
            <w:pPr>
              <w:rPr>
                <w:rFonts w:ascii="Arial" w:eastAsia="Arial" w:hAnsi="Arial" w:cs="Arial"/>
                <w:color w:val="002060"/>
                <w:sz w:val="16"/>
                <w:szCs w:val="16"/>
              </w:rPr>
            </w:pPr>
            <w:r>
              <w:rPr>
                <w:rFonts w:ascii="Arial" w:eastAsia="Arial" w:hAnsi="Arial" w:cs="Arial"/>
                <w:color w:val="002060"/>
                <w:sz w:val="16"/>
                <w:szCs w:val="16"/>
              </w:rPr>
              <w:t> </w:t>
            </w:r>
          </w:p>
        </w:tc>
        <w:tc>
          <w:tcPr>
            <w:tcW w:w="0" w:type="auto"/>
            <w:tcBorders>
              <w:top w:val="nil"/>
              <w:left w:val="nil"/>
              <w:bottom w:val="nil"/>
              <w:right w:val="nil"/>
            </w:tcBorders>
            <w:shd w:val="clear" w:color="auto" w:fill="FFFFFF"/>
            <w:vAlign w:val="center"/>
          </w:tcPr>
          <w:p w14:paraId="6763FDA6" w14:textId="77777777" w:rsidR="00B50826" w:rsidRDefault="00006AE2">
            <w:pPr>
              <w:rPr>
                <w:rFonts w:ascii="Arial" w:eastAsia="Arial" w:hAnsi="Arial" w:cs="Arial"/>
                <w:color w:val="002060"/>
                <w:sz w:val="16"/>
                <w:szCs w:val="16"/>
              </w:rPr>
            </w:pPr>
            <w:r>
              <w:rPr>
                <w:rFonts w:ascii="Arial" w:eastAsia="Arial" w:hAnsi="Arial" w:cs="Arial"/>
                <w:color w:val="002060"/>
                <w:sz w:val="16"/>
                <w:szCs w:val="16"/>
              </w:rPr>
              <w:t> </w:t>
            </w:r>
          </w:p>
        </w:tc>
      </w:tr>
    </w:tbl>
    <w:p w14:paraId="5514E3F2" w14:textId="77777777" w:rsidR="00B50826" w:rsidRDefault="00006AE2" w:rsidP="008500BE">
      <w:pPr>
        <w:spacing w:after="240"/>
        <w:rPr>
          <w:rFonts w:ascii="Arial" w:eastAsia="Arial" w:hAnsi="Arial" w:cs="Arial"/>
          <w:color w:val="002060"/>
          <w:sz w:val="16"/>
          <w:szCs w:val="16"/>
        </w:rPr>
      </w:pPr>
      <w:r>
        <w:rPr>
          <w:rFonts w:ascii="Arial" w:eastAsia="Arial" w:hAnsi="Arial" w:cs="Arial"/>
          <w:color w:val="002060"/>
          <w:sz w:val="16"/>
          <w:szCs w:val="16"/>
        </w:rPr>
        <w:t>Elaborado por el BCRP, sucursal Huancayo. Dpto. Estudios Económicos.</w:t>
      </w:r>
      <w:r>
        <w:rPr>
          <w:rFonts w:ascii="Arial" w:eastAsia="Arial" w:hAnsi="Arial" w:cs="Arial"/>
          <w:color w:val="002060"/>
          <w:sz w:val="16"/>
          <w:szCs w:val="16"/>
        </w:rPr>
        <w:tab/>
      </w:r>
    </w:p>
    <w:p w14:paraId="1D79AA43" w14:textId="77777777" w:rsidR="008500BE" w:rsidRPr="008500BE" w:rsidRDefault="008500BE" w:rsidP="008500BE">
      <w:pPr>
        <w:spacing w:after="240"/>
        <w:rPr>
          <w:rFonts w:ascii="Arial" w:eastAsia="Arial" w:hAnsi="Arial" w:cs="Arial"/>
          <w:color w:val="002060"/>
          <w:sz w:val="16"/>
          <w:szCs w:val="16"/>
        </w:rPr>
      </w:pPr>
    </w:p>
    <w:p w14:paraId="5F8593AC" w14:textId="77777777" w:rsidR="00B50826" w:rsidRDefault="00006AE2">
      <w:pPr>
        <w:spacing w:after="240"/>
        <w:jc w:val="both"/>
        <w:rPr>
          <w:rFonts w:ascii="Arial" w:eastAsia="Arial" w:hAnsi="Arial" w:cs="Arial"/>
          <w:b/>
          <w:color w:val="002060"/>
          <w:sz w:val="20"/>
          <w:szCs w:val="20"/>
        </w:rPr>
      </w:pPr>
      <w:r>
        <w:rPr>
          <w:rFonts w:ascii="Arial" w:eastAsia="Arial" w:hAnsi="Arial" w:cs="Arial"/>
          <w:b/>
          <w:color w:val="002060"/>
          <w:sz w:val="20"/>
          <w:szCs w:val="20"/>
        </w:rPr>
        <w:t>Sector Agropecuario.</w:t>
      </w:r>
    </w:p>
    <w:p w14:paraId="227F0454"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La agricultura es la principal actividad económica que realizan los pobladores de esta región, constituyéndose en las provincias de Leoncio Prado con 65.72 %, Marañón con 78.22 %, Puerto Inca con 77.9 %, Huánuco con 79% y Pachitea con 83.87 % de la PEA ocupada</w:t>
      </w:r>
      <w:r>
        <w:rPr>
          <w:rFonts w:ascii="Calibri" w:eastAsia="Calibri" w:hAnsi="Calibri" w:cs="Calibri"/>
          <w:color w:val="002060"/>
          <w:sz w:val="18"/>
          <w:szCs w:val="18"/>
          <w:vertAlign w:val="superscript"/>
        </w:rPr>
        <w:footnoteReference w:id="31"/>
      </w:r>
      <w:r>
        <w:rPr>
          <w:rFonts w:ascii="Arial" w:eastAsia="Arial" w:hAnsi="Arial" w:cs="Arial"/>
          <w:color w:val="002060"/>
          <w:sz w:val="20"/>
          <w:szCs w:val="20"/>
        </w:rPr>
        <w:t>.</w:t>
      </w:r>
    </w:p>
    <w:p w14:paraId="7DD5D1FE" w14:textId="77777777" w:rsidR="00B50826" w:rsidRDefault="00B50826">
      <w:pPr>
        <w:pBdr>
          <w:top w:val="nil"/>
          <w:left w:val="nil"/>
          <w:bottom w:val="nil"/>
          <w:right w:val="nil"/>
          <w:between w:val="nil"/>
        </w:pBdr>
        <w:ind w:firstLine="1728"/>
        <w:jc w:val="both"/>
        <w:rPr>
          <w:rFonts w:ascii="Arial" w:eastAsia="Arial" w:hAnsi="Arial" w:cs="Arial"/>
          <w:color w:val="002060"/>
          <w:sz w:val="20"/>
          <w:szCs w:val="20"/>
        </w:rPr>
      </w:pPr>
    </w:p>
    <w:p w14:paraId="0EE6086B"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El sub sector agrícola adquiere preponderancia por demandar importante mano de obra (casi la mitad de la PEA Ocupada en 2017), a pesar de disminuir su contribución al VAB regional durante la última década. La actividad se caracteriza por la producción, en la zona sierra, de papa blanca, y amarilla, olluco, maíz (choclo y amiláceo), trigo, cebada, arveja, frijol y zanahoria, destinadas a abastecer al mercado de la región centro; mientras que en la zona ceja de selva y selva baja sobresale la producción de maíz amarillo duro, café, cacao y en los últimos años palma para aceite, para la industria y/o agro exportación; además produce plátano, yuca, arroz, naranja, zapallo y piña, destinados al consumo directo.</w:t>
      </w:r>
    </w:p>
    <w:p w14:paraId="29DDB030"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Existe también una significativa actividad pecuaria, en particular en la provincia de Puerto Inca, debido a la extensión de sus pastos naturales. El ganado es principalmente vacuno, con una producción que representa el 9% del total nacional; también se produce en menor escala ganado porcino y ovino</w:t>
      </w:r>
      <w:r>
        <w:rPr>
          <w:rFonts w:ascii="Calibri" w:eastAsia="Calibri" w:hAnsi="Calibri" w:cs="Calibri"/>
          <w:color w:val="002060"/>
          <w:sz w:val="18"/>
          <w:szCs w:val="18"/>
          <w:vertAlign w:val="superscript"/>
        </w:rPr>
        <w:footnoteReference w:id="32"/>
      </w:r>
      <w:r>
        <w:rPr>
          <w:rFonts w:ascii="Arial" w:eastAsia="Arial" w:hAnsi="Arial" w:cs="Arial"/>
          <w:color w:val="002060"/>
          <w:sz w:val="20"/>
          <w:szCs w:val="20"/>
        </w:rPr>
        <w:t xml:space="preserve">. </w:t>
      </w:r>
    </w:p>
    <w:p w14:paraId="38BCE792"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420CA67A"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vertAlign w:val="superscript"/>
        </w:rPr>
      </w:pPr>
      <w:r>
        <w:rPr>
          <w:rFonts w:ascii="Arial" w:eastAsia="Arial" w:hAnsi="Arial" w:cs="Arial"/>
          <w:color w:val="002060"/>
          <w:sz w:val="20"/>
          <w:szCs w:val="20"/>
        </w:rPr>
        <w:t>Con respecto a la superficie agropecuaria dentro de las provincias en estudio presenta una alta fragmentación, que a su vez comprenden parcelas dispersas, situación que se agrava aún más por la topografía muy variada, debilidad que constituyen un gran obstáculo al desarrollo de una agricultura rentable; donde el 51% de los agricultores tiene parcelas con menos de 3 ha, y el 31.7% tiene parcelas menos de 10 ha. Mientras que solo el 3% de los productores tiene una parcela mayor a 50 ha. Esta región cuenta con 106,356 unidades agropecuarias, de las cuales el 98% son parcelas con producción a pequeña escala y manejados a nivel familiar</w:t>
      </w:r>
      <w:r>
        <w:rPr>
          <w:rFonts w:ascii="Arial" w:eastAsia="Arial" w:hAnsi="Arial" w:cs="Arial"/>
          <w:color w:val="002060"/>
          <w:sz w:val="20"/>
          <w:szCs w:val="20"/>
          <w:vertAlign w:val="superscript"/>
        </w:rPr>
        <w:footnoteReference w:id="33"/>
      </w:r>
    </w:p>
    <w:p w14:paraId="7A5B795F"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224C36A9"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De las 536.5 mil hectáreas de superficie agrícola en Huánuco, sólo el 7.1% posee riego y el resto es tierra agrícola de secano</w:t>
      </w:r>
      <w:r>
        <w:rPr>
          <w:rFonts w:ascii="Calibri" w:eastAsia="Calibri" w:hAnsi="Calibri" w:cs="Calibri"/>
          <w:color w:val="002060"/>
          <w:sz w:val="18"/>
          <w:szCs w:val="18"/>
          <w:vertAlign w:val="superscript"/>
        </w:rPr>
        <w:footnoteReference w:id="34"/>
      </w:r>
      <w:r>
        <w:rPr>
          <w:rFonts w:ascii="Arial" w:eastAsia="Arial" w:hAnsi="Arial" w:cs="Arial"/>
          <w:color w:val="002060"/>
          <w:sz w:val="20"/>
          <w:szCs w:val="20"/>
        </w:rPr>
        <w:t>; esto refleja poca tecnología aplicada a mejorar la calidad del producto y a una mayor productividad. Estas características determinan el desarrollo de una agricultura marcada por dos campañas agrícolas, la “grande” en periodos de lluvia (con siembras de setiembre a diciembre) y la “chica” en zonas con acceso a riego (con siembras de marzo a julio).</w:t>
      </w:r>
    </w:p>
    <w:p w14:paraId="60D9C2B1"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1D0EDD37"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En el subsector pecuario, la actividad es eminentemente extensiva, caracterizándose por la crianza del ganado vacuno, porcino y ovino, además de leche y carne de ave, los que en conjunto representaron el 97% del VBP pecuario de 2017. Destaca la producción de carne de vacuno (56% en 2017), la misma que se desarrolla mayoritariamente en la provincia de Puerto Inca; destinándose la oferta de carne a los mercados de Lima, Pucallpa, Iquitos, y del propio departamento. </w:t>
      </w:r>
    </w:p>
    <w:p w14:paraId="5E494372"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3BAD5CA8"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En Huánuco, se encuentra la mayor producción de pasto brachiaria del país, principal insumo para la crianza de ganado vacuno, concentrándose en la provincia de Puerto Inca; durante 2017, Huánuco </w:t>
      </w:r>
      <w:r>
        <w:rPr>
          <w:rFonts w:ascii="Arial" w:eastAsia="Arial" w:hAnsi="Arial" w:cs="Arial"/>
          <w:color w:val="002060"/>
          <w:sz w:val="20"/>
          <w:szCs w:val="20"/>
        </w:rPr>
        <w:lastRenderedPageBreak/>
        <w:t>destacó en la producción de carne de vacuno (cuarto lugar con 10% de participación) y carne de porcino (quinto lugar, con 4% de aporte).</w:t>
      </w:r>
    </w:p>
    <w:p w14:paraId="04C8769F"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197B6038" w14:textId="77777777" w:rsidR="00B50826" w:rsidRDefault="00006AE2" w:rsidP="008500BE">
      <w:pPr>
        <w:pBdr>
          <w:top w:val="nil"/>
          <w:left w:val="nil"/>
          <w:bottom w:val="nil"/>
          <w:right w:val="nil"/>
          <w:between w:val="nil"/>
        </w:pBdr>
        <w:spacing w:after="240"/>
        <w:jc w:val="both"/>
        <w:rPr>
          <w:rFonts w:ascii="Arial" w:eastAsia="Arial" w:hAnsi="Arial" w:cs="Arial"/>
          <w:color w:val="002060"/>
          <w:sz w:val="20"/>
          <w:szCs w:val="20"/>
        </w:rPr>
      </w:pPr>
      <w:r>
        <w:rPr>
          <w:rFonts w:ascii="Arial" w:eastAsia="Arial" w:hAnsi="Arial" w:cs="Arial"/>
          <w:color w:val="002060"/>
          <w:sz w:val="20"/>
          <w:szCs w:val="20"/>
        </w:rPr>
        <w:t>En la amazonia de Huánuco se ha incrementado la frontera a agrícola en diversos cultivos, ello se explica por la migración de la población andina a la selva en busca de terrenos para sembrar, de igual manera por diversos programas y/o proyectos de cooperación externa o nacional que se vienen promocionando, a fin de contrarrestar los cultivos ilícitos, en el siguiente cuadro se consolida la evolución de los principales cultivos.</w:t>
      </w:r>
    </w:p>
    <w:p w14:paraId="2D270F80" w14:textId="77777777" w:rsidR="00B50826" w:rsidRDefault="00006AE2">
      <w:pPr>
        <w:rPr>
          <w:rFonts w:ascii="Arial" w:eastAsia="Arial" w:hAnsi="Arial" w:cs="Arial"/>
          <w:b/>
          <w:i/>
          <w:color w:val="002060"/>
          <w:sz w:val="18"/>
          <w:szCs w:val="18"/>
        </w:rPr>
      </w:pPr>
      <w:r>
        <w:rPr>
          <w:rFonts w:ascii="Arial" w:eastAsia="Arial" w:hAnsi="Arial" w:cs="Arial"/>
          <w:b/>
          <w:i/>
          <w:color w:val="002060"/>
          <w:sz w:val="18"/>
          <w:szCs w:val="18"/>
        </w:rPr>
        <w:t>Tabla N° 08: Evolución de los principales cultivos amazónicos en la región Huánuco (en ha.).</w:t>
      </w:r>
    </w:p>
    <w:tbl>
      <w:tblPr>
        <w:tblStyle w:val="afb"/>
        <w:tblW w:w="0" w:type="auto"/>
        <w:tblInd w:w="0" w:type="dxa"/>
        <w:tblLook w:val="0400" w:firstRow="0" w:lastRow="0" w:firstColumn="0" w:lastColumn="0" w:noHBand="0" w:noVBand="1"/>
      </w:tblPr>
      <w:tblGrid>
        <w:gridCol w:w="6738"/>
        <w:gridCol w:w="220"/>
        <w:gridCol w:w="220"/>
        <w:gridCol w:w="221"/>
        <w:gridCol w:w="221"/>
        <w:gridCol w:w="221"/>
        <w:gridCol w:w="221"/>
        <w:gridCol w:w="221"/>
        <w:gridCol w:w="221"/>
      </w:tblGrid>
      <w:tr w:rsidR="00B50826" w14:paraId="295400D9" w14:textId="77777777">
        <w:trPr>
          <w:trHeight w:val="300"/>
        </w:trPr>
        <w:tc>
          <w:tcPr>
            <w:tcW w:w="0" w:type="auto"/>
            <w:tcBorders>
              <w:top w:val="nil"/>
              <w:left w:val="nil"/>
              <w:bottom w:val="nil"/>
              <w:right w:val="nil"/>
            </w:tcBorders>
            <w:shd w:val="clear" w:color="auto" w:fill="auto"/>
            <w:vAlign w:val="center"/>
          </w:tcPr>
          <w:p w14:paraId="4E8A5C18" w14:textId="77777777" w:rsidR="00B50826" w:rsidRDefault="00006AE2">
            <w:pPr>
              <w:rPr>
                <w:rFonts w:ascii="Arial" w:eastAsia="Arial" w:hAnsi="Arial" w:cs="Arial"/>
                <w:color w:val="002060"/>
              </w:rPr>
            </w:pPr>
            <w:r>
              <w:rPr>
                <w:rFonts w:ascii="Arial" w:eastAsia="Arial" w:hAnsi="Arial" w:cs="Arial"/>
                <w:color w:val="002060"/>
              </w:rPr>
              <w:t xml:space="preserve">  </w:t>
            </w:r>
            <w:r>
              <w:rPr>
                <w:noProof/>
              </w:rPr>
              <w:drawing>
                <wp:inline distT="0" distB="0" distL="0" distR="0" wp14:anchorId="1087B380" wp14:editId="40FDFC02">
                  <wp:extent cx="5398770" cy="1207135"/>
                  <wp:effectExtent l="0" t="0" r="0" b="0"/>
                  <wp:docPr id="2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5398770" cy="1207135"/>
                          </a:xfrm>
                          <a:prstGeom prst="rect">
                            <a:avLst/>
                          </a:prstGeom>
                          <a:ln/>
                        </pic:spPr>
                      </pic:pic>
                    </a:graphicData>
                  </a:graphic>
                </wp:inline>
              </w:drawing>
            </w:r>
          </w:p>
          <w:p w14:paraId="2CFBE035" w14:textId="77777777" w:rsidR="00B50826" w:rsidRDefault="00006AE2">
            <w:pPr>
              <w:rPr>
                <w:rFonts w:ascii="Arial" w:eastAsia="Arial" w:hAnsi="Arial" w:cs="Arial"/>
                <w:color w:val="002060"/>
                <w:sz w:val="16"/>
                <w:szCs w:val="16"/>
              </w:rPr>
            </w:pPr>
            <w:r>
              <w:rPr>
                <w:rFonts w:ascii="Arial" w:eastAsia="Arial" w:hAnsi="Arial" w:cs="Arial"/>
                <w:color w:val="002060"/>
                <w:sz w:val="16"/>
                <w:szCs w:val="16"/>
              </w:rPr>
              <w:t>Fuente: OEAI-HCO.ACS.</w:t>
            </w:r>
          </w:p>
        </w:tc>
        <w:tc>
          <w:tcPr>
            <w:tcW w:w="0" w:type="auto"/>
            <w:tcBorders>
              <w:top w:val="nil"/>
              <w:left w:val="nil"/>
              <w:bottom w:val="nil"/>
              <w:right w:val="nil"/>
            </w:tcBorders>
            <w:shd w:val="clear" w:color="auto" w:fill="auto"/>
            <w:vAlign w:val="bottom"/>
          </w:tcPr>
          <w:p w14:paraId="55D522C6"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6CA3F7BE"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696430DA"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43B30CB6"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46FB8313"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39E04B64"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6CB90CD9" w14:textId="77777777" w:rsidR="00B50826" w:rsidRDefault="00B50826">
            <w:pPr>
              <w:rPr>
                <w:rFonts w:ascii="Arial" w:eastAsia="Arial" w:hAnsi="Arial" w:cs="Arial"/>
                <w:color w:val="002060"/>
              </w:rPr>
            </w:pPr>
          </w:p>
        </w:tc>
        <w:tc>
          <w:tcPr>
            <w:tcW w:w="0" w:type="auto"/>
            <w:tcBorders>
              <w:top w:val="nil"/>
              <w:left w:val="nil"/>
              <w:bottom w:val="nil"/>
              <w:right w:val="nil"/>
            </w:tcBorders>
            <w:shd w:val="clear" w:color="auto" w:fill="auto"/>
            <w:vAlign w:val="bottom"/>
          </w:tcPr>
          <w:p w14:paraId="122ED2A7" w14:textId="77777777" w:rsidR="00B50826" w:rsidRDefault="00B50826">
            <w:pPr>
              <w:rPr>
                <w:rFonts w:ascii="Arial" w:eastAsia="Arial" w:hAnsi="Arial" w:cs="Arial"/>
                <w:color w:val="002060"/>
                <w:sz w:val="16"/>
                <w:szCs w:val="16"/>
              </w:rPr>
            </w:pPr>
          </w:p>
        </w:tc>
      </w:tr>
    </w:tbl>
    <w:p w14:paraId="16B156CE" w14:textId="77777777" w:rsidR="00B50826" w:rsidRDefault="00B50826">
      <w:pPr>
        <w:pBdr>
          <w:top w:val="nil"/>
          <w:left w:val="nil"/>
          <w:bottom w:val="nil"/>
          <w:right w:val="nil"/>
          <w:between w:val="nil"/>
        </w:pBdr>
        <w:ind w:right="-710" w:hanging="720"/>
        <w:jc w:val="both"/>
        <w:rPr>
          <w:rFonts w:ascii="Arial" w:eastAsia="Arial" w:hAnsi="Arial" w:cs="Arial"/>
          <w:color w:val="002060"/>
        </w:rPr>
      </w:pPr>
    </w:p>
    <w:p w14:paraId="2C5BEBBD"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Los cultivos que más se han desarrollado son palma aceitera (creció en 678% el área desde el 2012), café (creció 383%), cacao (creció 342%) y plátano (creció 124%). Los cultivos tradicionales como maíz, arroz y yuca apenas crecieron entre 12 y 40% en el lapso de 11 años. Afortunadamente, el cultivo de papaya no se ha expandido tan agresivamente como sí ha ocurrido en otras regiones de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Por otro lado, tenemos que las áreas de pastos también se han incrementado, pasando de 137,698 ha en el año 2013 a 163,382 ha en el 2018, siendo la brachiaria el tipo de pasto más instalado, sobre todo en la provincia de Puerto Inca.</w:t>
      </w:r>
    </w:p>
    <w:p w14:paraId="5D6F6F66"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17118FAC"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Minería, gas y petróleo.</w:t>
      </w:r>
    </w:p>
    <w:p w14:paraId="17C17761"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El aporte del sector al VAB de Huánuco ha fluctuado entre 6.5 y 9.5% en los últimos 10 años (9.3% en 2017); mientras que su contribución a la producción minera nacional se ha mantenido entre 0.6 y 0.8% (0.8% en 2017). En el departamento opera únicamente la Compañía Minera </w:t>
      </w:r>
      <w:proofErr w:type="spellStart"/>
      <w:r>
        <w:rPr>
          <w:rFonts w:ascii="Arial" w:eastAsia="Arial" w:hAnsi="Arial" w:cs="Arial"/>
          <w:color w:val="002060"/>
          <w:sz w:val="20"/>
          <w:szCs w:val="20"/>
        </w:rPr>
        <w:t>Raura</w:t>
      </w:r>
      <w:proofErr w:type="spellEnd"/>
      <w:r>
        <w:rPr>
          <w:rFonts w:ascii="Arial" w:eastAsia="Arial" w:hAnsi="Arial" w:cs="Arial"/>
          <w:color w:val="002060"/>
          <w:sz w:val="20"/>
          <w:szCs w:val="20"/>
        </w:rPr>
        <w:t xml:space="preserve"> S.A., en la que destaca la minería metálica con la producción de concentrados de zinc, plata, cobre y plomo, siendo zinc el más significativo al aportar el 59% del VBP minero metálico de 2017, seguido de plomo (19%) y plata (16%). Según el Boletín Estadístico de Minería 2017 del Ministerio de Energía y Minas, de las 190 mil personas empleadas en el sector (empleo directo y por contrata) a nivel nacional, en Huánuco se concentró el 1% (1,940 trabajadores), ocupando el lugar 17, siendo el primero Arequipa (28 mil trabajadores).</w:t>
      </w:r>
    </w:p>
    <w:p w14:paraId="740D790F"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43EA36D3"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Durante 2017, el aporte minero nacional fue de S/ 3,303 millones (canon minero, regalías mineras, y derechos de vigencia), de los cuales Huánuco contribuyó con S/ 11.1 millones (0,3% de participación).</w:t>
      </w:r>
    </w:p>
    <w:p w14:paraId="0B461898"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1B2A2DD4"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Manufactura.</w:t>
      </w:r>
    </w:p>
    <w:p w14:paraId="3C2CD0BE" w14:textId="77777777" w:rsidR="00B50826" w:rsidRDefault="00006AE2" w:rsidP="008500BE">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El aporte del sector al VAB de Huánuco ha fluctuado entre 6 y 10.3% en los últimos 10 años (6% en 2016), periodo en el cual ha ido decayendo progresivamente su contribución, mientras que su aporte a la producción manufacturera nacional se ha mantenido en 0.5% desde el 2014. La actividad se encuentra influenciada por la industrialización del cacao, sobresaliendo en los últimos años la mayor demanda de productos orgánicos. En la provincia de Leoncio Prado cooperativas como la Naranjillo, Alto Huallaga, CAI Bella Durmiente, así como empresas que generan valor agregado a la producción de cacao; asimismo, la presencia de otras organizaciones como la Cooperativa Divisoria y otras cooperativas nuevas en la zona, permite que en el departamento se efectué el mayor acopio de la zona en cacao y café (convencional y orgánico), muchos de los cuales son exportados como materia prima.</w:t>
      </w:r>
    </w:p>
    <w:p w14:paraId="1E50E1BE"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1FF0EBE6"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Comercio y servicios.</w:t>
      </w:r>
    </w:p>
    <w:p w14:paraId="7896A10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el 2017, representó el 52% del VAB departamental, manteniendo su contribución de más de 50% en la última década. Este resultado se explica por su ubicación geográfica, al constituirse las provincias de Ambo, Huánuco y Leoncio Prado (Tingo María) en un corredor económico, por el que </w:t>
      </w:r>
      <w:r>
        <w:rPr>
          <w:rFonts w:ascii="Arial" w:eastAsia="Arial" w:hAnsi="Arial" w:cs="Arial"/>
          <w:color w:val="002060"/>
          <w:sz w:val="20"/>
          <w:szCs w:val="20"/>
        </w:rPr>
        <w:lastRenderedPageBreak/>
        <w:t>se extiende el río Huallaga y la Carretera Central, sirviendo como tránsito de los productos que se comercializan en el departamento y en la zona sur de los departamentos de Ucayali y San Martín con destino hacia Lima, destacando el transporte de madera y papaya procedente de Ucayali, y de aceite de palma proveniente de San Martín. Asimismo, destaca en las provincias de Ambo, Huánuco y Leoncio Prado la mayor utilización de gas licuado en diversas actividades como en transporte público y privado, restaurantes, panaderías, hoteles y demás relacionados, estimulando así una mayor actividad comercial.</w:t>
      </w:r>
    </w:p>
    <w:p w14:paraId="45AC9EE0"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0A57D1AB" w14:textId="77777777" w:rsidR="00B50826" w:rsidRDefault="00006AE2">
      <w:pPr>
        <w:jc w:val="both"/>
        <w:rPr>
          <w:rFonts w:ascii="Arial" w:eastAsia="Arial" w:hAnsi="Arial" w:cs="Arial"/>
          <w:color w:val="002060"/>
          <w:sz w:val="20"/>
          <w:szCs w:val="20"/>
        </w:rPr>
      </w:pPr>
      <w:r>
        <w:rPr>
          <w:rFonts w:ascii="Arial" w:eastAsia="Arial" w:hAnsi="Arial" w:cs="Arial"/>
          <w:b/>
          <w:color w:val="002060"/>
          <w:sz w:val="20"/>
          <w:szCs w:val="20"/>
        </w:rPr>
        <w:t>Turismo</w:t>
      </w:r>
      <w:r>
        <w:rPr>
          <w:rFonts w:ascii="Arial" w:eastAsia="Arial" w:hAnsi="Arial" w:cs="Arial"/>
          <w:color w:val="002060"/>
          <w:sz w:val="20"/>
          <w:szCs w:val="20"/>
        </w:rPr>
        <w:t>.</w:t>
      </w:r>
    </w:p>
    <w:p w14:paraId="66133BE0"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Huánuco cuenta con importantes atractivos turísticos en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destacan “La Bella Durmiente” (conjunto de cerros que se asemeja al perfil del cuerpo de una mujer); el Parque Nacional de Tingo María; la cueva de las lechuzas (gruta de piedra caliza); la cueva de las Pavas (profunda y estrecha quebrada, rodeado de exuberante vegetación); las aguas sulfurosas de </w:t>
      </w:r>
      <w:proofErr w:type="spellStart"/>
      <w:r>
        <w:rPr>
          <w:rFonts w:ascii="Arial" w:eastAsia="Arial" w:hAnsi="Arial" w:cs="Arial"/>
          <w:color w:val="002060"/>
          <w:sz w:val="20"/>
          <w:szCs w:val="20"/>
        </w:rPr>
        <w:t>Jacintillo</w:t>
      </w:r>
      <w:proofErr w:type="spellEnd"/>
      <w:r>
        <w:rPr>
          <w:rFonts w:ascii="Arial" w:eastAsia="Arial" w:hAnsi="Arial" w:cs="Arial"/>
          <w:color w:val="002060"/>
          <w:sz w:val="20"/>
          <w:szCs w:val="20"/>
        </w:rPr>
        <w:t xml:space="preserve">; y las cataratas de </w:t>
      </w:r>
      <w:proofErr w:type="spellStart"/>
      <w:r>
        <w:rPr>
          <w:rFonts w:ascii="Arial" w:eastAsia="Arial" w:hAnsi="Arial" w:cs="Arial"/>
          <w:color w:val="002060"/>
          <w:sz w:val="20"/>
          <w:szCs w:val="20"/>
        </w:rPr>
        <w:t>Cayumba</w:t>
      </w:r>
      <w:proofErr w:type="spellEnd"/>
      <w:r>
        <w:rPr>
          <w:rFonts w:ascii="Arial" w:eastAsia="Arial" w:hAnsi="Arial" w:cs="Arial"/>
          <w:color w:val="002060"/>
          <w:sz w:val="20"/>
          <w:szCs w:val="20"/>
        </w:rPr>
        <w:t xml:space="preserve">, Castillo Grande, Santa Carmen, y San Miguel; entre los principales. </w:t>
      </w:r>
    </w:p>
    <w:p w14:paraId="0AECE768" w14:textId="77777777" w:rsidR="00B50826" w:rsidRDefault="00B50826">
      <w:pPr>
        <w:jc w:val="both"/>
        <w:rPr>
          <w:rFonts w:ascii="Arial" w:eastAsia="Arial" w:hAnsi="Arial" w:cs="Arial"/>
          <w:color w:val="002060"/>
          <w:sz w:val="20"/>
          <w:szCs w:val="20"/>
        </w:rPr>
      </w:pPr>
    </w:p>
    <w:p w14:paraId="3D762AE4"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De acuerdo a la información del Ministerio de Comercio Exterior y Turismo, durante 2017, de los 7.6 millones de turistas extranjeros que arribaron a nuestro país, en Huánuco apenas se registró 4.3 miles (0.1% de participación), de los cuales el 21% procedió de los Estados Unidos, seguido de Alemania (7%), Colombia (6%) y España (5%), entre los principales. Respecto de los arribos de nacionales, de los 44 millones a nivel nacional, en Huánuco se registraron 0.8 millones (1.8% de participación).</w:t>
      </w:r>
    </w:p>
    <w:p w14:paraId="795849D0" w14:textId="77777777" w:rsidR="00B50826" w:rsidRDefault="00B50826">
      <w:pPr>
        <w:jc w:val="both"/>
        <w:rPr>
          <w:rFonts w:ascii="Arial" w:eastAsia="Arial" w:hAnsi="Arial" w:cs="Arial"/>
          <w:color w:val="002060"/>
          <w:sz w:val="20"/>
          <w:szCs w:val="20"/>
        </w:rPr>
      </w:pPr>
    </w:p>
    <w:p w14:paraId="4B149A5C" w14:textId="77777777" w:rsidR="00D029B1" w:rsidRDefault="00D029B1">
      <w:pPr>
        <w:jc w:val="both"/>
        <w:rPr>
          <w:rFonts w:ascii="Arial" w:eastAsia="Arial" w:hAnsi="Arial" w:cs="Arial"/>
          <w:color w:val="002060"/>
          <w:sz w:val="20"/>
          <w:szCs w:val="20"/>
        </w:rPr>
      </w:pPr>
    </w:p>
    <w:p w14:paraId="7072A78A" w14:textId="77777777" w:rsidR="00B50826" w:rsidRDefault="00006AE2">
      <w:pPr>
        <w:numPr>
          <w:ilvl w:val="0"/>
          <w:numId w:val="14"/>
        </w:numPr>
        <w:pBdr>
          <w:top w:val="nil"/>
          <w:left w:val="nil"/>
          <w:bottom w:val="nil"/>
          <w:right w:val="nil"/>
          <w:between w:val="nil"/>
        </w:pBdr>
        <w:spacing w:after="240"/>
        <w:ind w:left="0" w:hanging="426"/>
        <w:rPr>
          <w:rFonts w:ascii="Arial" w:eastAsia="Arial" w:hAnsi="Arial" w:cs="Arial"/>
          <w:b/>
          <w:color w:val="002060"/>
          <w:sz w:val="20"/>
          <w:szCs w:val="20"/>
        </w:rPr>
      </w:pPr>
      <w:r>
        <w:rPr>
          <w:rFonts w:ascii="Arial" w:eastAsia="Arial" w:hAnsi="Arial" w:cs="Arial"/>
          <w:b/>
          <w:color w:val="002060"/>
          <w:sz w:val="20"/>
          <w:szCs w:val="20"/>
        </w:rPr>
        <w:t>Social</w:t>
      </w:r>
    </w:p>
    <w:p w14:paraId="79925D74"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Para tener un análisis mejor de la situación socioeconómica de la región, se analizan los siguientes indicadores sociales:</w:t>
      </w:r>
    </w:p>
    <w:p w14:paraId="7F1822F3" w14:textId="77777777" w:rsidR="008500BE" w:rsidRDefault="008500BE">
      <w:pPr>
        <w:jc w:val="both"/>
        <w:rPr>
          <w:rFonts w:ascii="Arial" w:eastAsia="Arial" w:hAnsi="Arial" w:cs="Arial"/>
          <w:color w:val="002060"/>
          <w:sz w:val="20"/>
          <w:szCs w:val="20"/>
        </w:rPr>
      </w:pPr>
    </w:p>
    <w:p w14:paraId="5C01AF33" w14:textId="77777777" w:rsidR="00B50826" w:rsidRDefault="00006AE2" w:rsidP="008500BE">
      <w:pPr>
        <w:rPr>
          <w:rFonts w:ascii="Arial" w:eastAsia="Arial" w:hAnsi="Arial" w:cs="Arial"/>
          <w:b/>
          <w:i/>
          <w:color w:val="002060"/>
          <w:sz w:val="20"/>
          <w:szCs w:val="20"/>
        </w:rPr>
      </w:pPr>
      <w:r>
        <w:rPr>
          <w:rFonts w:ascii="Arial" w:eastAsia="Arial" w:hAnsi="Arial" w:cs="Arial"/>
          <w:b/>
          <w:i/>
          <w:color w:val="002060"/>
          <w:sz w:val="20"/>
          <w:szCs w:val="20"/>
        </w:rPr>
        <w:t>Cuadro N° 9 Indicadores sociales de la Región Huánuco</w:t>
      </w:r>
    </w:p>
    <w:p w14:paraId="47AB1929" w14:textId="77777777" w:rsidR="00B50826" w:rsidRDefault="00B50826">
      <w:pPr>
        <w:jc w:val="both"/>
        <w:rPr>
          <w:rFonts w:ascii="Arial" w:eastAsia="Arial" w:hAnsi="Arial" w:cs="Arial"/>
          <w:color w:val="002060"/>
          <w:sz w:val="20"/>
          <w:szCs w:val="20"/>
        </w:rPr>
      </w:pPr>
    </w:p>
    <w:tbl>
      <w:tblPr>
        <w:tblStyle w:val="afc"/>
        <w:tblW w:w="0" w:type="auto"/>
        <w:tblInd w:w="0" w:type="dxa"/>
        <w:tblLook w:val="0400" w:firstRow="0" w:lastRow="0" w:firstColumn="0" w:lastColumn="0" w:noHBand="0" w:noVBand="1"/>
      </w:tblPr>
      <w:tblGrid>
        <w:gridCol w:w="6154"/>
        <w:gridCol w:w="1175"/>
        <w:gridCol w:w="1165"/>
      </w:tblGrid>
      <w:tr w:rsidR="00B50826" w14:paraId="5311CCD1" w14:textId="77777777">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9D08E"/>
            <w:vAlign w:val="bottom"/>
          </w:tcPr>
          <w:p w14:paraId="09F10760" w14:textId="77777777" w:rsidR="00B50826" w:rsidRDefault="00006AE2">
            <w:pPr>
              <w:jc w:val="center"/>
              <w:rPr>
                <w:rFonts w:ascii="Arial" w:eastAsia="Arial" w:hAnsi="Arial" w:cs="Arial"/>
                <w:b/>
                <w:color w:val="002060"/>
                <w:sz w:val="18"/>
                <w:szCs w:val="18"/>
              </w:rPr>
            </w:pPr>
            <w:r>
              <w:rPr>
                <w:rFonts w:ascii="Arial" w:eastAsia="Arial" w:hAnsi="Arial" w:cs="Arial"/>
                <w:b/>
                <w:color w:val="002060"/>
                <w:sz w:val="18"/>
                <w:szCs w:val="18"/>
              </w:rPr>
              <w:t>Indicadores sociales de la Región Huánuco.</w:t>
            </w:r>
          </w:p>
        </w:tc>
        <w:tc>
          <w:tcPr>
            <w:tcW w:w="0" w:type="auto"/>
            <w:tcBorders>
              <w:top w:val="single" w:sz="4" w:space="0" w:color="000000"/>
              <w:left w:val="nil"/>
              <w:bottom w:val="single" w:sz="4" w:space="0" w:color="000000"/>
              <w:right w:val="single" w:sz="4" w:space="0" w:color="000000"/>
            </w:tcBorders>
            <w:shd w:val="clear" w:color="auto" w:fill="A9D08E"/>
            <w:vAlign w:val="bottom"/>
          </w:tcPr>
          <w:p w14:paraId="7EB49A4E" w14:textId="77777777" w:rsidR="00B50826" w:rsidRDefault="00006AE2">
            <w:pPr>
              <w:jc w:val="center"/>
              <w:rPr>
                <w:rFonts w:ascii="Arial" w:eastAsia="Arial" w:hAnsi="Arial" w:cs="Arial"/>
                <w:b/>
                <w:color w:val="002060"/>
                <w:sz w:val="18"/>
                <w:szCs w:val="18"/>
              </w:rPr>
            </w:pPr>
            <w:r>
              <w:rPr>
                <w:rFonts w:ascii="Arial" w:eastAsia="Arial" w:hAnsi="Arial" w:cs="Arial"/>
                <w:b/>
                <w:color w:val="002060"/>
                <w:sz w:val="18"/>
                <w:szCs w:val="18"/>
              </w:rPr>
              <w:t xml:space="preserve">% Regional </w:t>
            </w:r>
          </w:p>
        </w:tc>
        <w:tc>
          <w:tcPr>
            <w:tcW w:w="0" w:type="auto"/>
            <w:tcBorders>
              <w:top w:val="single" w:sz="4" w:space="0" w:color="000000"/>
              <w:left w:val="nil"/>
              <w:bottom w:val="single" w:sz="4" w:space="0" w:color="000000"/>
              <w:right w:val="single" w:sz="4" w:space="0" w:color="000000"/>
            </w:tcBorders>
            <w:shd w:val="clear" w:color="auto" w:fill="A9D08E"/>
            <w:vAlign w:val="bottom"/>
          </w:tcPr>
          <w:p w14:paraId="71909785" w14:textId="77777777" w:rsidR="00B50826" w:rsidRDefault="00006AE2">
            <w:pPr>
              <w:jc w:val="center"/>
              <w:rPr>
                <w:rFonts w:ascii="Arial" w:eastAsia="Arial" w:hAnsi="Arial" w:cs="Arial"/>
                <w:b/>
                <w:color w:val="002060"/>
                <w:sz w:val="18"/>
                <w:szCs w:val="18"/>
              </w:rPr>
            </w:pPr>
            <w:r>
              <w:rPr>
                <w:rFonts w:ascii="Arial" w:eastAsia="Arial" w:hAnsi="Arial" w:cs="Arial"/>
                <w:b/>
                <w:color w:val="002060"/>
                <w:sz w:val="18"/>
                <w:szCs w:val="18"/>
              </w:rPr>
              <w:t>% Nacional</w:t>
            </w:r>
          </w:p>
        </w:tc>
      </w:tr>
      <w:tr w:rsidR="00B50826" w14:paraId="2C056B76" w14:textId="77777777">
        <w:trPr>
          <w:trHeight w:val="279"/>
        </w:trPr>
        <w:tc>
          <w:tcPr>
            <w:tcW w:w="0" w:type="auto"/>
            <w:tcBorders>
              <w:top w:val="nil"/>
              <w:left w:val="single" w:sz="4" w:space="0" w:color="000000"/>
              <w:bottom w:val="single" w:sz="4" w:space="0" w:color="000000"/>
              <w:right w:val="single" w:sz="4" w:space="0" w:color="000000"/>
            </w:tcBorders>
            <w:shd w:val="clear" w:color="auto" w:fill="FFFFFF"/>
            <w:vAlign w:val="bottom"/>
          </w:tcPr>
          <w:p w14:paraId="6CEB3F5F"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Desnutrición Crónica Infantil en niños y niñas menores de 5 años</w:t>
            </w:r>
          </w:p>
        </w:tc>
        <w:tc>
          <w:tcPr>
            <w:tcW w:w="0" w:type="auto"/>
            <w:tcBorders>
              <w:top w:val="nil"/>
              <w:left w:val="nil"/>
              <w:bottom w:val="single" w:sz="4" w:space="0" w:color="000000"/>
              <w:right w:val="single" w:sz="4" w:space="0" w:color="000000"/>
            </w:tcBorders>
            <w:shd w:val="clear" w:color="auto" w:fill="FFFFFF"/>
            <w:vAlign w:val="center"/>
          </w:tcPr>
          <w:p w14:paraId="17EB0A5D"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22.4</w:t>
            </w:r>
          </w:p>
        </w:tc>
        <w:tc>
          <w:tcPr>
            <w:tcW w:w="0" w:type="auto"/>
            <w:tcBorders>
              <w:top w:val="nil"/>
              <w:left w:val="nil"/>
              <w:bottom w:val="single" w:sz="4" w:space="0" w:color="000000"/>
              <w:right w:val="single" w:sz="4" w:space="0" w:color="000000"/>
            </w:tcBorders>
            <w:shd w:val="clear" w:color="auto" w:fill="FFFFFF"/>
            <w:vAlign w:val="center"/>
          </w:tcPr>
          <w:p w14:paraId="2EF94629"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12.2</w:t>
            </w:r>
          </w:p>
        </w:tc>
      </w:tr>
      <w:tr w:rsidR="00B50826" w14:paraId="64536AE8" w14:textId="77777777">
        <w:trPr>
          <w:trHeight w:val="283"/>
        </w:trPr>
        <w:tc>
          <w:tcPr>
            <w:tcW w:w="0" w:type="auto"/>
            <w:tcBorders>
              <w:top w:val="nil"/>
              <w:left w:val="single" w:sz="4" w:space="0" w:color="000000"/>
              <w:bottom w:val="single" w:sz="4" w:space="0" w:color="000000"/>
              <w:right w:val="single" w:sz="4" w:space="0" w:color="000000"/>
            </w:tcBorders>
            <w:shd w:val="clear" w:color="auto" w:fill="FFFFFF"/>
            <w:vAlign w:val="bottom"/>
          </w:tcPr>
          <w:p w14:paraId="66F85C2A"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Asistencia de niños y niñas de 3 a 5 años a instituciones educativas</w:t>
            </w:r>
          </w:p>
        </w:tc>
        <w:tc>
          <w:tcPr>
            <w:tcW w:w="0" w:type="auto"/>
            <w:tcBorders>
              <w:top w:val="nil"/>
              <w:left w:val="nil"/>
              <w:bottom w:val="single" w:sz="4" w:space="0" w:color="000000"/>
              <w:right w:val="single" w:sz="4" w:space="0" w:color="000000"/>
            </w:tcBorders>
            <w:shd w:val="clear" w:color="auto" w:fill="FFFFFF"/>
            <w:vAlign w:val="center"/>
          </w:tcPr>
          <w:p w14:paraId="60F4B057"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80.7</w:t>
            </w:r>
          </w:p>
        </w:tc>
        <w:tc>
          <w:tcPr>
            <w:tcW w:w="0" w:type="auto"/>
            <w:tcBorders>
              <w:top w:val="nil"/>
              <w:left w:val="nil"/>
              <w:bottom w:val="single" w:sz="4" w:space="0" w:color="000000"/>
              <w:right w:val="single" w:sz="4" w:space="0" w:color="000000"/>
            </w:tcBorders>
            <w:shd w:val="clear" w:color="auto" w:fill="FFFFFF"/>
            <w:vAlign w:val="center"/>
          </w:tcPr>
          <w:p w14:paraId="261DE7D4"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86.8</w:t>
            </w:r>
          </w:p>
        </w:tc>
      </w:tr>
      <w:tr w:rsidR="00B50826" w14:paraId="2463841A" w14:textId="77777777">
        <w:trPr>
          <w:trHeight w:val="273"/>
        </w:trPr>
        <w:tc>
          <w:tcPr>
            <w:tcW w:w="0" w:type="auto"/>
            <w:tcBorders>
              <w:top w:val="nil"/>
              <w:left w:val="single" w:sz="4" w:space="0" w:color="000000"/>
              <w:bottom w:val="single" w:sz="4" w:space="0" w:color="000000"/>
              <w:right w:val="single" w:sz="4" w:space="0" w:color="000000"/>
            </w:tcBorders>
            <w:shd w:val="clear" w:color="auto" w:fill="FFFFFF"/>
            <w:vAlign w:val="bottom"/>
          </w:tcPr>
          <w:p w14:paraId="6F393DA4"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Incidencia de pobreza considerando como referencia el ingreso autónomo</w:t>
            </w:r>
          </w:p>
        </w:tc>
        <w:tc>
          <w:tcPr>
            <w:tcW w:w="0" w:type="auto"/>
            <w:tcBorders>
              <w:top w:val="nil"/>
              <w:left w:val="nil"/>
              <w:bottom w:val="single" w:sz="4" w:space="0" w:color="000000"/>
              <w:right w:val="single" w:sz="4" w:space="0" w:color="000000"/>
            </w:tcBorders>
            <w:shd w:val="clear" w:color="auto" w:fill="FFFFFF"/>
            <w:vAlign w:val="center"/>
          </w:tcPr>
          <w:p w14:paraId="01FEA3FC"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38.5</w:t>
            </w:r>
          </w:p>
        </w:tc>
        <w:tc>
          <w:tcPr>
            <w:tcW w:w="0" w:type="auto"/>
            <w:tcBorders>
              <w:top w:val="nil"/>
              <w:left w:val="nil"/>
              <w:bottom w:val="single" w:sz="4" w:space="0" w:color="000000"/>
              <w:right w:val="single" w:sz="4" w:space="0" w:color="000000"/>
            </w:tcBorders>
            <w:shd w:val="clear" w:color="auto" w:fill="FFFFFF"/>
            <w:vAlign w:val="center"/>
          </w:tcPr>
          <w:p w14:paraId="20E5A123"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25.3</w:t>
            </w:r>
          </w:p>
        </w:tc>
      </w:tr>
      <w:tr w:rsidR="00B50826" w14:paraId="1BADB30E"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8CF8F65"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Incidencia de pobreza extrema</w:t>
            </w:r>
          </w:p>
        </w:tc>
        <w:tc>
          <w:tcPr>
            <w:tcW w:w="0" w:type="auto"/>
            <w:tcBorders>
              <w:top w:val="nil"/>
              <w:left w:val="nil"/>
              <w:bottom w:val="single" w:sz="4" w:space="0" w:color="000000"/>
              <w:right w:val="single" w:sz="4" w:space="0" w:color="000000"/>
            </w:tcBorders>
            <w:shd w:val="clear" w:color="auto" w:fill="FFFFFF"/>
            <w:vAlign w:val="center"/>
          </w:tcPr>
          <w:p w14:paraId="6DBCE723"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6.4</w:t>
            </w:r>
          </w:p>
        </w:tc>
        <w:tc>
          <w:tcPr>
            <w:tcW w:w="0" w:type="auto"/>
            <w:tcBorders>
              <w:top w:val="nil"/>
              <w:left w:val="nil"/>
              <w:bottom w:val="single" w:sz="4" w:space="0" w:color="000000"/>
              <w:right w:val="single" w:sz="4" w:space="0" w:color="000000"/>
            </w:tcBorders>
            <w:shd w:val="clear" w:color="auto" w:fill="FFFFFF"/>
            <w:vAlign w:val="center"/>
          </w:tcPr>
          <w:p w14:paraId="02FC1491"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2.8</w:t>
            </w:r>
          </w:p>
        </w:tc>
      </w:tr>
      <w:tr w:rsidR="00B50826" w14:paraId="2A2B8667"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71BAD24A"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Población en Situación de Pobreza (Total)</w:t>
            </w:r>
          </w:p>
        </w:tc>
        <w:tc>
          <w:tcPr>
            <w:tcW w:w="0" w:type="auto"/>
            <w:tcBorders>
              <w:top w:val="nil"/>
              <w:left w:val="nil"/>
              <w:bottom w:val="single" w:sz="4" w:space="0" w:color="000000"/>
              <w:right w:val="single" w:sz="4" w:space="0" w:color="000000"/>
            </w:tcBorders>
            <w:shd w:val="clear" w:color="auto" w:fill="FFFFFF"/>
            <w:vAlign w:val="center"/>
          </w:tcPr>
          <w:p w14:paraId="27224630"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29.9</w:t>
            </w:r>
          </w:p>
        </w:tc>
        <w:tc>
          <w:tcPr>
            <w:tcW w:w="0" w:type="auto"/>
            <w:tcBorders>
              <w:top w:val="nil"/>
              <w:left w:val="nil"/>
              <w:bottom w:val="single" w:sz="4" w:space="0" w:color="000000"/>
              <w:right w:val="single" w:sz="4" w:space="0" w:color="000000"/>
            </w:tcBorders>
            <w:shd w:val="clear" w:color="auto" w:fill="FFFFFF"/>
            <w:vAlign w:val="center"/>
          </w:tcPr>
          <w:p w14:paraId="68EB6917"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20.5</w:t>
            </w:r>
          </w:p>
        </w:tc>
      </w:tr>
      <w:tr w:rsidR="00B50826" w14:paraId="4B64EBF2" w14:textId="77777777">
        <w:trPr>
          <w:trHeight w:val="173"/>
        </w:trPr>
        <w:tc>
          <w:tcPr>
            <w:tcW w:w="0" w:type="auto"/>
            <w:tcBorders>
              <w:top w:val="nil"/>
              <w:left w:val="single" w:sz="4" w:space="0" w:color="000000"/>
              <w:bottom w:val="single" w:sz="4" w:space="0" w:color="000000"/>
              <w:right w:val="single" w:sz="4" w:space="0" w:color="000000"/>
            </w:tcBorders>
            <w:shd w:val="clear" w:color="auto" w:fill="FFFFFF"/>
            <w:vAlign w:val="bottom"/>
          </w:tcPr>
          <w:p w14:paraId="62CFD83C"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Acceso conjunto a servicios básicos: agua, desagüe, electrificación y telefonía</w:t>
            </w:r>
          </w:p>
        </w:tc>
        <w:tc>
          <w:tcPr>
            <w:tcW w:w="0" w:type="auto"/>
            <w:tcBorders>
              <w:top w:val="nil"/>
              <w:left w:val="nil"/>
              <w:bottom w:val="single" w:sz="4" w:space="0" w:color="000000"/>
              <w:right w:val="single" w:sz="4" w:space="0" w:color="000000"/>
            </w:tcBorders>
            <w:shd w:val="clear" w:color="auto" w:fill="FFFFFF"/>
            <w:vAlign w:val="center"/>
          </w:tcPr>
          <w:p w14:paraId="5AA76630"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49.2</w:t>
            </w:r>
          </w:p>
        </w:tc>
        <w:tc>
          <w:tcPr>
            <w:tcW w:w="0" w:type="auto"/>
            <w:tcBorders>
              <w:top w:val="nil"/>
              <w:left w:val="nil"/>
              <w:bottom w:val="single" w:sz="4" w:space="0" w:color="000000"/>
              <w:right w:val="single" w:sz="4" w:space="0" w:color="000000"/>
            </w:tcBorders>
            <w:shd w:val="clear" w:color="auto" w:fill="FFFFFF"/>
            <w:vAlign w:val="center"/>
          </w:tcPr>
          <w:p w14:paraId="63082AF5"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71.8</w:t>
            </w:r>
          </w:p>
        </w:tc>
      </w:tr>
      <w:tr w:rsidR="00B50826" w14:paraId="71F32DA7"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79BC6ED0"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Hogares con acceso a Agua</w:t>
            </w:r>
          </w:p>
        </w:tc>
        <w:tc>
          <w:tcPr>
            <w:tcW w:w="0" w:type="auto"/>
            <w:tcBorders>
              <w:top w:val="nil"/>
              <w:left w:val="nil"/>
              <w:bottom w:val="single" w:sz="4" w:space="0" w:color="000000"/>
              <w:right w:val="single" w:sz="4" w:space="0" w:color="000000"/>
            </w:tcBorders>
            <w:shd w:val="clear" w:color="auto" w:fill="FFFFFF"/>
            <w:vAlign w:val="center"/>
          </w:tcPr>
          <w:p w14:paraId="4CF421D7"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75.2</w:t>
            </w:r>
          </w:p>
        </w:tc>
        <w:tc>
          <w:tcPr>
            <w:tcW w:w="0" w:type="auto"/>
            <w:tcBorders>
              <w:top w:val="nil"/>
              <w:left w:val="nil"/>
              <w:bottom w:val="single" w:sz="4" w:space="0" w:color="000000"/>
              <w:right w:val="single" w:sz="4" w:space="0" w:color="000000"/>
            </w:tcBorders>
            <w:shd w:val="clear" w:color="auto" w:fill="FFFFFF"/>
            <w:vAlign w:val="center"/>
          </w:tcPr>
          <w:p w14:paraId="4CC30DBF"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89.2</w:t>
            </w:r>
          </w:p>
        </w:tc>
      </w:tr>
      <w:tr w:rsidR="00B50826" w14:paraId="2F48BE6F"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92B54A2"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Hogares con acceso a saneamiento</w:t>
            </w:r>
          </w:p>
        </w:tc>
        <w:tc>
          <w:tcPr>
            <w:tcW w:w="0" w:type="auto"/>
            <w:tcBorders>
              <w:top w:val="nil"/>
              <w:left w:val="nil"/>
              <w:bottom w:val="single" w:sz="4" w:space="0" w:color="000000"/>
              <w:right w:val="single" w:sz="4" w:space="0" w:color="000000"/>
            </w:tcBorders>
            <w:shd w:val="clear" w:color="auto" w:fill="FFFFFF"/>
            <w:vAlign w:val="center"/>
          </w:tcPr>
          <w:p w14:paraId="2E5A9329"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59.6</w:t>
            </w:r>
          </w:p>
        </w:tc>
        <w:tc>
          <w:tcPr>
            <w:tcW w:w="0" w:type="auto"/>
            <w:tcBorders>
              <w:top w:val="nil"/>
              <w:left w:val="nil"/>
              <w:bottom w:val="single" w:sz="4" w:space="0" w:color="000000"/>
              <w:right w:val="single" w:sz="4" w:space="0" w:color="000000"/>
            </w:tcBorders>
            <w:shd w:val="clear" w:color="auto" w:fill="FFFFFF"/>
            <w:vAlign w:val="center"/>
          </w:tcPr>
          <w:p w14:paraId="63CC4A3C"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79.3</w:t>
            </w:r>
          </w:p>
        </w:tc>
      </w:tr>
      <w:tr w:rsidR="00B50826" w14:paraId="737A4963"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4BE6B9D"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Hogares con acceso a electricidad</w:t>
            </w:r>
          </w:p>
        </w:tc>
        <w:tc>
          <w:tcPr>
            <w:tcW w:w="0" w:type="auto"/>
            <w:tcBorders>
              <w:top w:val="nil"/>
              <w:left w:val="nil"/>
              <w:bottom w:val="single" w:sz="4" w:space="0" w:color="000000"/>
              <w:right w:val="single" w:sz="4" w:space="0" w:color="000000"/>
            </w:tcBorders>
            <w:shd w:val="clear" w:color="auto" w:fill="FFFFFF"/>
            <w:vAlign w:val="center"/>
          </w:tcPr>
          <w:p w14:paraId="68331DDB"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86.4</w:t>
            </w:r>
          </w:p>
        </w:tc>
        <w:tc>
          <w:tcPr>
            <w:tcW w:w="0" w:type="auto"/>
            <w:tcBorders>
              <w:top w:val="nil"/>
              <w:left w:val="nil"/>
              <w:bottom w:val="single" w:sz="4" w:space="0" w:color="000000"/>
              <w:right w:val="single" w:sz="4" w:space="0" w:color="000000"/>
            </w:tcBorders>
            <w:shd w:val="clear" w:color="auto" w:fill="FFFFFF"/>
            <w:vAlign w:val="center"/>
          </w:tcPr>
          <w:p w14:paraId="0C0D40C4"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95.2</w:t>
            </w:r>
          </w:p>
        </w:tc>
      </w:tr>
      <w:tr w:rsidR="00B50826" w14:paraId="41DA52EE"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355E3EEC" w14:textId="77777777" w:rsidR="00B50826" w:rsidRDefault="00006AE2">
            <w:pPr>
              <w:rPr>
                <w:rFonts w:ascii="Arial" w:eastAsia="Arial" w:hAnsi="Arial" w:cs="Arial"/>
                <w:color w:val="002060"/>
                <w:sz w:val="18"/>
                <w:szCs w:val="18"/>
              </w:rPr>
            </w:pPr>
            <w:r>
              <w:rPr>
                <w:rFonts w:ascii="Arial" w:eastAsia="Arial" w:hAnsi="Arial" w:cs="Arial"/>
                <w:color w:val="002060"/>
                <w:sz w:val="18"/>
                <w:szCs w:val="18"/>
              </w:rPr>
              <w:t>Hogares con tenencia de telefonía</w:t>
            </w:r>
          </w:p>
        </w:tc>
        <w:tc>
          <w:tcPr>
            <w:tcW w:w="0" w:type="auto"/>
            <w:tcBorders>
              <w:top w:val="nil"/>
              <w:left w:val="nil"/>
              <w:bottom w:val="single" w:sz="4" w:space="0" w:color="000000"/>
              <w:right w:val="single" w:sz="4" w:space="0" w:color="000000"/>
            </w:tcBorders>
            <w:shd w:val="clear" w:color="auto" w:fill="FFFFFF"/>
            <w:vAlign w:val="center"/>
          </w:tcPr>
          <w:p w14:paraId="7BA0A332"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88.3</w:t>
            </w:r>
          </w:p>
        </w:tc>
        <w:tc>
          <w:tcPr>
            <w:tcW w:w="0" w:type="auto"/>
            <w:tcBorders>
              <w:top w:val="nil"/>
              <w:left w:val="nil"/>
              <w:bottom w:val="single" w:sz="4" w:space="0" w:color="000000"/>
              <w:right w:val="single" w:sz="4" w:space="0" w:color="000000"/>
            </w:tcBorders>
            <w:shd w:val="clear" w:color="auto" w:fill="FFFFFF"/>
            <w:vAlign w:val="center"/>
          </w:tcPr>
          <w:p w14:paraId="5CA1AF98" w14:textId="77777777" w:rsidR="00B50826" w:rsidRDefault="00006AE2">
            <w:pPr>
              <w:jc w:val="center"/>
              <w:rPr>
                <w:rFonts w:ascii="Arial" w:eastAsia="Arial" w:hAnsi="Arial" w:cs="Arial"/>
                <w:color w:val="002060"/>
                <w:sz w:val="18"/>
                <w:szCs w:val="18"/>
              </w:rPr>
            </w:pPr>
            <w:r>
              <w:rPr>
                <w:rFonts w:ascii="Arial" w:eastAsia="Arial" w:hAnsi="Arial" w:cs="Arial"/>
                <w:color w:val="002060"/>
                <w:sz w:val="18"/>
                <w:szCs w:val="18"/>
              </w:rPr>
              <w:t>92.1</w:t>
            </w:r>
          </w:p>
        </w:tc>
      </w:tr>
    </w:tbl>
    <w:p w14:paraId="6FAC3FD6" w14:textId="77777777" w:rsidR="00B50826" w:rsidRDefault="00006AE2">
      <w:pPr>
        <w:jc w:val="both"/>
        <w:rPr>
          <w:rFonts w:ascii="Arial" w:eastAsia="Arial" w:hAnsi="Arial" w:cs="Arial"/>
          <w:color w:val="002060"/>
          <w:sz w:val="16"/>
          <w:szCs w:val="16"/>
        </w:rPr>
      </w:pPr>
      <w:r>
        <w:rPr>
          <w:rFonts w:ascii="Arial" w:eastAsia="Arial" w:hAnsi="Arial" w:cs="Arial"/>
          <w:color w:val="002060"/>
          <w:sz w:val="16"/>
          <w:szCs w:val="16"/>
        </w:rPr>
        <w:t>Fuente: ENAHO 2010-2018 (INEI)</w:t>
      </w:r>
    </w:p>
    <w:p w14:paraId="3E19EA9B" w14:textId="77777777" w:rsidR="00B50826" w:rsidRDefault="00B50826">
      <w:pPr>
        <w:jc w:val="both"/>
        <w:rPr>
          <w:rFonts w:ascii="Arial" w:eastAsia="Arial" w:hAnsi="Arial" w:cs="Arial"/>
          <w:color w:val="002060"/>
          <w:sz w:val="20"/>
          <w:szCs w:val="20"/>
        </w:rPr>
      </w:pPr>
    </w:p>
    <w:p w14:paraId="034A0B83"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Como se puede observar en el cuadro precedente la situación social en esta región es crítica, y está por debajo de todos los indicadores sociales medios a nivel nacional, lo que lo ubica en los últimos lugares a nivel de todas las regiones.</w:t>
      </w:r>
    </w:p>
    <w:p w14:paraId="4AA853D7" w14:textId="77777777" w:rsidR="00B50826" w:rsidRDefault="00B50826">
      <w:pPr>
        <w:jc w:val="both"/>
        <w:rPr>
          <w:rFonts w:ascii="Arial" w:eastAsia="Arial" w:hAnsi="Arial" w:cs="Arial"/>
          <w:color w:val="002060"/>
          <w:sz w:val="20"/>
          <w:szCs w:val="20"/>
        </w:rPr>
      </w:pPr>
    </w:p>
    <w:p w14:paraId="36A5423D"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7CEAF48D"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Indicadores de servicios básicos e infraestructura.</w:t>
      </w:r>
    </w:p>
    <w:p w14:paraId="5CB4AF9F" w14:textId="77777777" w:rsidR="008500BE" w:rsidRDefault="008500BE">
      <w:pPr>
        <w:jc w:val="center"/>
        <w:rPr>
          <w:rFonts w:ascii="Arial" w:eastAsia="Arial" w:hAnsi="Arial" w:cs="Arial"/>
          <w:b/>
          <w:i/>
          <w:color w:val="002060"/>
          <w:sz w:val="20"/>
          <w:szCs w:val="20"/>
        </w:rPr>
      </w:pPr>
    </w:p>
    <w:p w14:paraId="1AC23DE8" w14:textId="77777777" w:rsidR="00B50826" w:rsidRDefault="00006AE2" w:rsidP="008500BE">
      <w:pPr>
        <w:rPr>
          <w:rFonts w:ascii="Arial" w:eastAsia="Arial" w:hAnsi="Arial" w:cs="Arial"/>
          <w:b/>
          <w:i/>
          <w:color w:val="002060"/>
          <w:sz w:val="20"/>
          <w:szCs w:val="20"/>
        </w:rPr>
      </w:pPr>
      <w:r>
        <w:rPr>
          <w:rFonts w:ascii="Arial" w:eastAsia="Arial" w:hAnsi="Arial" w:cs="Arial"/>
          <w:b/>
          <w:i/>
          <w:color w:val="002060"/>
          <w:sz w:val="20"/>
          <w:szCs w:val="20"/>
        </w:rPr>
        <w:t>Cuadro Nº 10</w:t>
      </w:r>
    </w:p>
    <w:p w14:paraId="28CDAA46" w14:textId="77777777" w:rsidR="00B50826" w:rsidRDefault="00B50826" w:rsidP="008500BE">
      <w:pPr>
        <w:pBdr>
          <w:top w:val="nil"/>
          <w:left w:val="nil"/>
          <w:bottom w:val="nil"/>
          <w:right w:val="nil"/>
          <w:between w:val="nil"/>
        </w:pBdr>
        <w:ind w:left="1728" w:hanging="720"/>
        <w:jc w:val="both"/>
        <w:rPr>
          <w:rFonts w:ascii="Arial" w:eastAsia="Arial" w:hAnsi="Arial" w:cs="Arial"/>
          <w:color w:val="002060"/>
          <w:sz w:val="20"/>
          <w:szCs w:val="20"/>
        </w:rPr>
      </w:pPr>
    </w:p>
    <w:tbl>
      <w:tblPr>
        <w:tblStyle w:val="afd"/>
        <w:tblW w:w="0" w:type="auto"/>
        <w:tblInd w:w="0" w:type="dxa"/>
        <w:tblLook w:val="0400" w:firstRow="0" w:lastRow="0" w:firstColumn="0" w:lastColumn="0" w:noHBand="0" w:noVBand="1"/>
      </w:tblPr>
      <w:tblGrid>
        <w:gridCol w:w="3397"/>
        <w:gridCol w:w="1276"/>
        <w:gridCol w:w="1418"/>
      </w:tblGrid>
      <w:tr w:rsidR="00B50826" w14:paraId="1EED72F2" w14:textId="77777777" w:rsidTr="008500BE">
        <w:trPr>
          <w:trHeight w:val="255"/>
        </w:trPr>
        <w:tc>
          <w:tcPr>
            <w:tcW w:w="3397"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750A13B9" w14:textId="77777777" w:rsidR="00B50826" w:rsidRDefault="00006AE2">
            <w:pPr>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Indicador</w:t>
            </w:r>
          </w:p>
        </w:tc>
        <w:tc>
          <w:tcPr>
            <w:tcW w:w="1276" w:type="dxa"/>
            <w:tcBorders>
              <w:top w:val="single" w:sz="4" w:space="0" w:color="000000"/>
              <w:left w:val="nil"/>
              <w:bottom w:val="single" w:sz="4" w:space="0" w:color="000000"/>
              <w:right w:val="single" w:sz="4" w:space="0" w:color="000000"/>
            </w:tcBorders>
            <w:shd w:val="clear" w:color="auto" w:fill="C6E0B4"/>
            <w:vAlign w:val="bottom"/>
          </w:tcPr>
          <w:p w14:paraId="1EA38750" w14:textId="77777777" w:rsidR="00B50826" w:rsidRDefault="00006AE2" w:rsidP="008500BE">
            <w:pPr>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Valor</w:t>
            </w:r>
          </w:p>
        </w:tc>
        <w:tc>
          <w:tcPr>
            <w:tcW w:w="1418" w:type="dxa"/>
            <w:tcBorders>
              <w:top w:val="single" w:sz="4" w:space="0" w:color="000000"/>
              <w:left w:val="nil"/>
              <w:bottom w:val="single" w:sz="4" w:space="0" w:color="000000"/>
              <w:right w:val="single" w:sz="4" w:space="0" w:color="000000"/>
            </w:tcBorders>
            <w:shd w:val="clear" w:color="auto" w:fill="C6E0B4"/>
            <w:vAlign w:val="bottom"/>
          </w:tcPr>
          <w:p w14:paraId="028AB925" w14:textId="77777777" w:rsidR="00B50826" w:rsidRDefault="00006AE2" w:rsidP="008500BE">
            <w:pPr>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Puesto (de 25)</w:t>
            </w:r>
          </w:p>
        </w:tc>
      </w:tr>
      <w:tr w:rsidR="00B50826" w14:paraId="4CF98B31"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165F71BB"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Acceso a electricidad agua y desagüe</w:t>
            </w:r>
          </w:p>
        </w:tc>
        <w:tc>
          <w:tcPr>
            <w:tcW w:w="1276" w:type="dxa"/>
            <w:tcBorders>
              <w:top w:val="nil"/>
              <w:left w:val="nil"/>
              <w:bottom w:val="single" w:sz="4" w:space="0" w:color="000000"/>
              <w:right w:val="single" w:sz="4" w:space="0" w:color="000000"/>
            </w:tcBorders>
            <w:shd w:val="clear" w:color="auto" w:fill="FFFFFF"/>
            <w:vAlign w:val="bottom"/>
          </w:tcPr>
          <w:p w14:paraId="669AC5CF"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41.2%</w:t>
            </w:r>
          </w:p>
        </w:tc>
        <w:tc>
          <w:tcPr>
            <w:tcW w:w="1418" w:type="dxa"/>
            <w:tcBorders>
              <w:top w:val="nil"/>
              <w:left w:val="nil"/>
              <w:bottom w:val="single" w:sz="4" w:space="0" w:color="000000"/>
              <w:right w:val="single" w:sz="4" w:space="0" w:color="000000"/>
            </w:tcBorders>
            <w:shd w:val="clear" w:color="auto" w:fill="FFFFFF"/>
            <w:vAlign w:val="bottom"/>
          </w:tcPr>
          <w:p w14:paraId="5AA37CDA"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21</w:t>
            </w:r>
          </w:p>
        </w:tc>
      </w:tr>
      <w:tr w:rsidR="00B50826" w14:paraId="5A0CB743"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1C5DA208"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Precio de electricidad (Cent. $/</w:t>
            </w:r>
            <w:proofErr w:type="spellStart"/>
            <w:r>
              <w:rPr>
                <w:rFonts w:ascii="Arial Narrow" w:eastAsia="Arial Narrow" w:hAnsi="Arial Narrow" w:cs="Arial Narrow"/>
                <w:color w:val="002060"/>
                <w:sz w:val="20"/>
                <w:szCs w:val="20"/>
              </w:rPr>
              <w:t>kw</w:t>
            </w:r>
            <w:proofErr w:type="spellEnd"/>
            <w:r>
              <w:rPr>
                <w:rFonts w:ascii="Arial Narrow" w:eastAsia="Arial Narrow" w:hAnsi="Arial Narrow" w:cs="Arial Narrow"/>
                <w:color w:val="002060"/>
                <w:sz w:val="20"/>
                <w:szCs w:val="20"/>
              </w:rPr>
              <w:t>/hora)</w:t>
            </w:r>
          </w:p>
        </w:tc>
        <w:tc>
          <w:tcPr>
            <w:tcW w:w="1276" w:type="dxa"/>
            <w:tcBorders>
              <w:top w:val="nil"/>
              <w:left w:val="nil"/>
              <w:bottom w:val="single" w:sz="4" w:space="0" w:color="000000"/>
              <w:right w:val="single" w:sz="4" w:space="0" w:color="000000"/>
            </w:tcBorders>
            <w:shd w:val="clear" w:color="auto" w:fill="FFFFFF"/>
            <w:vAlign w:val="bottom"/>
          </w:tcPr>
          <w:p w14:paraId="4F1DCE78"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20.3</w:t>
            </w:r>
          </w:p>
        </w:tc>
        <w:tc>
          <w:tcPr>
            <w:tcW w:w="1418" w:type="dxa"/>
            <w:tcBorders>
              <w:top w:val="nil"/>
              <w:left w:val="nil"/>
              <w:bottom w:val="single" w:sz="4" w:space="0" w:color="000000"/>
              <w:right w:val="single" w:sz="4" w:space="0" w:color="000000"/>
            </w:tcBorders>
            <w:shd w:val="clear" w:color="auto" w:fill="FFFFFF"/>
            <w:vAlign w:val="bottom"/>
          </w:tcPr>
          <w:p w14:paraId="4586A8F6"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24</w:t>
            </w:r>
          </w:p>
        </w:tc>
      </w:tr>
      <w:tr w:rsidR="00B50826" w14:paraId="00318F02"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34DF73A3"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Red vial local pavimentada o afirmada</w:t>
            </w:r>
          </w:p>
        </w:tc>
        <w:tc>
          <w:tcPr>
            <w:tcW w:w="1276" w:type="dxa"/>
            <w:tcBorders>
              <w:top w:val="nil"/>
              <w:left w:val="nil"/>
              <w:bottom w:val="single" w:sz="4" w:space="0" w:color="000000"/>
              <w:right w:val="single" w:sz="4" w:space="0" w:color="000000"/>
            </w:tcBorders>
            <w:shd w:val="clear" w:color="auto" w:fill="FFFFFF"/>
            <w:vAlign w:val="bottom"/>
          </w:tcPr>
          <w:p w14:paraId="7B63F613"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40.1%</w:t>
            </w:r>
          </w:p>
        </w:tc>
        <w:tc>
          <w:tcPr>
            <w:tcW w:w="1418" w:type="dxa"/>
            <w:tcBorders>
              <w:top w:val="nil"/>
              <w:left w:val="nil"/>
              <w:bottom w:val="single" w:sz="4" w:space="0" w:color="000000"/>
              <w:right w:val="single" w:sz="4" w:space="0" w:color="000000"/>
            </w:tcBorders>
            <w:shd w:val="clear" w:color="auto" w:fill="FFFFFF"/>
            <w:vAlign w:val="bottom"/>
          </w:tcPr>
          <w:p w14:paraId="44E42A24"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10</w:t>
            </w:r>
          </w:p>
        </w:tc>
      </w:tr>
      <w:tr w:rsidR="00B50826" w14:paraId="2EC2D015"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0847F0BC"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Continuidad en la provisión de agua</w:t>
            </w:r>
          </w:p>
        </w:tc>
        <w:tc>
          <w:tcPr>
            <w:tcW w:w="1276" w:type="dxa"/>
            <w:tcBorders>
              <w:top w:val="nil"/>
              <w:left w:val="nil"/>
              <w:bottom w:val="single" w:sz="4" w:space="0" w:color="000000"/>
              <w:right w:val="single" w:sz="4" w:space="0" w:color="000000"/>
            </w:tcBorders>
            <w:shd w:val="clear" w:color="auto" w:fill="FFFFFF"/>
            <w:vAlign w:val="bottom"/>
          </w:tcPr>
          <w:p w14:paraId="4AEB07D5"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20.7</w:t>
            </w:r>
          </w:p>
        </w:tc>
        <w:tc>
          <w:tcPr>
            <w:tcW w:w="1418" w:type="dxa"/>
            <w:tcBorders>
              <w:top w:val="nil"/>
              <w:left w:val="nil"/>
              <w:bottom w:val="single" w:sz="4" w:space="0" w:color="000000"/>
              <w:right w:val="single" w:sz="4" w:space="0" w:color="000000"/>
            </w:tcBorders>
            <w:shd w:val="clear" w:color="auto" w:fill="FFFFFF"/>
            <w:vAlign w:val="bottom"/>
          </w:tcPr>
          <w:p w14:paraId="35984CB0"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4</w:t>
            </w:r>
          </w:p>
        </w:tc>
      </w:tr>
      <w:tr w:rsidR="00B50826" w14:paraId="7E080E1C"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02B58ECC"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Acceso a telefonía e internet móvil</w:t>
            </w:r>
          </w:p>
        </w:tc>
        <w:tc>
          <w:tcPr>
            <w:tcW w:w="1276" w:type="dxa"/>
            <w:tcBorders>
              <w:top w:val="nil"/>
              <w:left w:val="nil"/>
              <w:bottom w:val="single" w:sz="4" w:space="0" w:color="000000"/>
              <w:right w:val="single" w:sz="4" w:space="0" w:color="000000"/>
            </w:tcBorders>
            <w:shd w:val="clear" w:color="auto" w:fill="FFFFFF"/>
            <w:vAlign w:val="bottom"/>
          </w:tcPr>
          <w:p w14:paraId="0A33E16F"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37.9%</w:t>
            </w:r>
          </w:p>
        </w:tc>
        <w:tc>
          <w:tcPr>
            <w:tcW w:w="1418" w:type="dxa"/>
            <w:tcBorders>
              <w:top w:val="nil"/>
              <w:left w:val="nil"/>
              <w:bottom w:val="single" w:sz="4" w:space="0" w:color="000000"/>
              <w:right w:val="single" w:sz="4" w:space="0" w:color="000000"/>
            </w:tcBorders>
            <w:shd w:val="clear" w:color="auto" w:fill="FFFFFF"/>
            <w:vAlign w:val="bottom"/>
          </w:tcPr>
          <w:p w14:paraId="035C1115"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21</w:t>
            </w:r>
          </w:p>
        </w:tc>
      </w:tr>
      <w:tr w:rsidR="00B50826" w14:paraId="0A64DE8B"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161241A9"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lastRenderedPageBreak/>
              <w:t>Acceso a internet fijo</w:t>
            </w:r>
          </w:p>
        </w:tc>
        <w:tc>
          <w:tcPr>
            <w:tcW w:w="1276" w:type="dxa"/>
            <w:tcBorders>
              <w:top w:val="nil"/>
              <w:left w:val="nil"/>
              <w:bottom w:val="single" w:sz="4" w:space="0" w:color="000000"/>
              <w:right w:val="single" w:sz="4" w:space="0" w:color="000000"/>
            </w:tcBorders>
            <w:shd w:val="clear" w:color="auto" w:fill="FFFFFF"/>
            <w:vAlign w:val="bottom"/>
          </w:tcPr>
          <w:p w14:paraId="556DBC25"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9.2%</w:t>
            </w:r>
          </w:p>
        </w:tc>
        <w:tc>
          <w:tcPr>
            <w:tcW w:w="1418" w:type="dxa"/>
            <w:tcBorders>
              <w:top w:val="nil"/>
              <w:left w:val="nil"/>
              <w:bottom w:val="single" w:sz="4" w:space="0" w:color="000000"/>
              <w:right w:val="single" w:sz="4" w:space="0" w:color="000000"/>
            </w:tcBorders>
            <w:shd w:val="clear" w:color="auto" w:fill="FFFFFF"/>
            <w:vAlign w:val="bottom"/>
          </w:tcPr>
          <w:p w14:paraId="6DD7C9C8"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w:t>
            </w:r>
          </w:p>
        </w:tc>
      </w:tr>
      <w:tr w:rsidR="00B50826" w14:paraId="3917BB45" w14:textId="77777777" w:rsidTr="008500BE">
        <w:trPr>
          <w:trHeight w:val="255"/>
        </w:trPr>
        <w:tc>
          <w:tcPr>
            <w:tcW w:w="3397" w:type="dxa"/>
            <w:tcBorders>
              <w:top w:val="nil"/>
              <w:left w:val="single" w:sz="4" w:space="0" w:color="000000"/>
              <w:bottom w:val="single" w:sz="4" w:space="0" w:color="000000"/>
              <w:right w:val="single" w:sz="4" w:space="0" w:color="000000"/>
            </w:tcBorders>
            <w:shd w:val="clear" w:color="auto" w:fill="FFFFFF"/>
            <w:vAlign w:val="bottom"/>
          </w:tcPr>
          <w:p w14:paraId="5ABA28BA"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Densidad del transporte aéreo nacional</w:t>
            </w:r>
          </w:p>
        </w:tc>
        <w:tc>
          <w:tcPr>
            <w:tcW w:w="1276" w:type="dxa"/>
            <w:tcBorders>
              <w:top w:val="nil"/>
              <w:left w:val="nil"/>
              <w:bottom w:val="single" w:sz="4" w:space="0" w:color="000000"/>
              <w:right w:val="single" w:sz="4" w:space="0" w:color="000000"/>
            </w:tcBorders>
            <w:shd w:val="clear" w:color="auto" w:fill="FFFFFF"/>
            <w:vAlign w:val="bottom"/>
          </w:tcPr>
          <w:p w14:paraId="32B9442F"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134</w:t>
            </w:r>
          </w:p>
        </w:tc>
        <w:tc>
          <w:tcPr>
            <w:tcW w:w="1418" w:type="dxa"/>
            <w:tcBorders>
              <w:top w:val="nil"/>
              <w:left w:val="nil"/>
              <w:bottom w:val="single" w:sz="4" w:space="0" w:color="000000"/>
              <w:right w:val="single" w:sz="4" w:space="0" w:color="000000"/>
            </w:tcBorders>
            <w:shd w:val="clear" w:color="auto" w:fill="FFFFFF"/>
            <w:vAlign w:val="bottom"/>
          </w:tcPr>
          <w:p w14:paraId="08798609" w14:textId="77777777" w:rsidR="00B50826" w:rsidRDefault="00006AE2" w:rsidP="008500BE">
            <w:pPr>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18</w:t>
            </w:r>
          </w:p>
        </w:tc>
      </w:tr>
    </w:tbl>
    <w:p w14:paraId="5E782227" w14:textId="77777777" w:rsidR="00B50826" w:rsidRDefault="00006AE2">
      <w:pPr>
        <w:spacing w:after="240"/>
        <w:ind w:firstLine="708"/>
        <w:jc w:val="both"/>
        <w:rPr>
          <w:rFonts w:ascii="Arial" w:eastAsia="Arial" w:hAnsi="Arial" w:cs="Arial"/>
          <w:color w:val="002060"/>
          <w:sz w:val="16"/>
          <w:szCs w:val="16"/>
        </w:rPr>
      </w:pPr>
      <w:r>
        <w:rPr>
          <w:rFonts w:ascii="Arial" w:eastAsia="Arial" w:hAnsi="Arial" w:cs="Arial"/>
          <w:color w:val="002060"/>
          <w:sz w:val="16"/>
          <w:szCs w:val="16"/>
        </w:rPr>
        <w:t>Fuente: INCORE 2019</w:t>
      </w:r>
    </w:p>
    <w:p w14:paraId="41C31513" w14:textId="77777777" w:rsidR="00B50826" w:rsidRDefault="00B50826">
      <w:pPr>
        <w:jc w:val="both"/>
        <w:rPr>
          <w:rFonts w:ascii="Arial" w:eastAsia="Arial" w:hAnsi="Arial" w:cs="Arial"/>
          <w:color w:val="002060"/>
          <w:sz w:val="20"/>
          <w:szCs w:val="20"/>
        </w:rPr>
      </w:pPr>
    </w:p>
    <w:p w14:paraId="740C4AB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A pesar que, en esta región se produce electricidad, tenemos una de las más caras a nivel nacional, en cuanto a la cobertura de los servicios básicos, tenemos uno de los más bajos a nivel nacional, de igual manera para los de acceso a telefonía móvil e internet, ocupando en todos los casos los últimos lugares a nivel nacional.</w:t>
      </w:r>
    </w:p>
    <w:p w14:paraId="169C8138" w14:textId="77777777" w:rsidR="00B50826" w:rsidRDefault="00B50826">
      <w:pPr>
        <w:jc w:val="both"/>
        <w:rPr>
          <w:rFonts w:ascii="Arial" w:eastAsia="Arial" w:hAnsi="Arial" w:cs="Arial"/>
          <w:color w:val="002060"/>
          <w:sz w:val="20"/>
          <w:szCs w:val="20"/>
        </w:rPr>
      </w:pPr>
    </w:p>
    <w:p w14:paraId="0D15F054"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cuanto a la continuidad de provisión de agua, se ocupa el cuarto lugar a nivel nacional y, décimo lugar en red vial local pavimentada o afirmada, puestos que permiten competir con estos indicadores a nivel nacional.</w:t>
      </w:r>
    </w:p>
    <w:p w14:paraId="1DB175B9" w14:textId="77777777" w:rsidR="00B50826" w:rsidRDefault="00B50826">
      <w:pPr>
        <w:jc w:val="both"/>
        <w:rPr>
          <w:rFonts w:ascii="Arial" w:eastAsia="Arial" w:hAnsi="Arial" w:cs="Arial"/>
          <w:color w:val="002060"/>
          <w:sz w:val="20"/>
          <w:szCs w:val="20"/>
        </w:rPr>
      </w:pPr>
    </w:p>
    <w:p w14:paraId="3BFDFE51"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cuanto a educación, esta región ocupa el último quintil en todos los indicadores, lo que amerita tomar acción y mejorar las estrategias de intervención para mejorar estos indicadores, tan importantes para lograr incrementar el nivel de vida de la población, así como la competitividad en aspectos económicos, como se puede observar en el siguiente cuadro.</w:t>
      </w:r>
    </w:p>
    <w:p w14:paraId="1A12478A" w14:textId="77777777" w:rsidR="00B50826" w:rsidRDefault="00B50826">
      <w:pPr>
        <w:jc w:val="both"/>
        <w:rPr>
          <w:rFonts w:ascii="Arial" w:eastAsia="Arial" w:hAnsi="Arial" w:cs="Arial"/>
          <w:color w:val="002060"/>
          <w:sz w:val="20"/>
          <w:szCs w:val="20"/>
        </w:rPr>
      </w:pPr>
    </w:p>
    <w:p w14:paraId="4A4F3201" w14:textId="77777777" w:rsidR="008500BE" w:rsidRDefault="008500BE">
      <w:pPr>
        <w:jc w:val="both"/>
        <w:rPr>
          <w:rFonts w:ascii="Arial" w:eastAsia="Arial" w:hAnsi="Arial" w:cs="Arial"/>
          <w:b/>
          <w:color w:val="002060"/>
          <w:sz w:val="20"/>
          <w:szCs w:val="20"/>
        </w:rPr>
      </w:pPr>
    </w:p>
    <w:p w14:paraId="5B3E2508"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Indicador de Educación</w:t>
      </w:r>
    </w:p>
    <w:p w14:paraId="7A1F877C" w14:textId="77777777" w:rsidR="00B50826" w:rsidRDefault="00006AE2" w:rsidP="008500BE">
      <w:pPr>
        <w:rPr>
          <w:rFonts w:ascii="Arial" w:eastAsia="Arial" w:hAnsi="Arial" w:cs="Arial"/>
          <w:color w:val="002060"/>
          <w:sz w:val="20"/>
          <w:szCs w:val="20"/>
        </w:rPr>
      </w:pPr>
      <w:r>
        <w:rPr>
          <w:rFonts w:ascii="Arial" w:eastAsia="Arial" w:hAnsi="Arial" w:cs="Arial"/>
          <w:b/>
          <w:i/>
          <w:color w:val="002060"/>
          <w:sz w:val="20"/>
          <w:szCs w:val="20"/>
        </w:rPr>
        <w:t>Cuadro Nº 11</w:t>
      </w:r>
    </w:p>
    <w:p w14:paraId="269D8940" w14:textId="77777777" w:rsidR="00B50826" w:rsidRDefault="00B50826">
      <w:pPr>
        <w:jc w:val="both"/>
        <w:rPr>
          <w:rFonts w:ascii="Arial" w:eastAsia="Arial" w:hAnsi="Arial" w:cs="Arial"/>
          <w:color w:val="002060"/>
          <w:sz w:val="20"/>
          <w:szCs w:val="20"/>
        </w:rPr>
      </w:pPr>
    </w:p>
    <w:tbl>
      <w:tblPr>
        <w:tblStyle w:val="afe"/>
        <w:tblW w:w="0" w:type="auto"/>
        <w:tblInd w:w="0" w:type="dxa"/>
        <w:tblLook w:val="0400" w:firstRow="0" w:lastRow="0" w:firstColumn="0" w:lastColumn="0" w:noHBand="0" w:noVBand="1"/>
      </w:tblPr>
      <w:tblGrid>
        <w:gridCol w:w="4248"/>
        <w:gridCol w:w="1276"/>
        <w:gridCol w:w="1701"/>
      </w:tblGrid>
      <w:tr w:rsidR="00B50826" w14:paraId="479B9CAA" w14:textId="77777777" w:rsidTr="008500BE">
        <w:trPr>
          <w:trHeight w:val="255"/>
        </w:trPr>
        <w:tc>
          <w:tcPr>
            <w:tcW w:w="424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04A710A1" w14:textId="77777777" w:rsidR="00B50826" w:rsidRDefault="00006AE2">
            <w:pPr>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Indicador</w:t>
            </w:r>
          </w:p>
        </w:tc>
        <w:tc>
          <w:tcPr>
            <w:tcW w:w="1276" w:type="dxa"/>
            <w:tcBorders>
              <w:top w:val="single" w:sz="4" w:space="0" w:color="000000"/>
              <w:left w:val="nil"/>
              <w:bottom w:val="single" w:sz="4" w:space="0" w:color="000000"/>
              <w:right w:val="single" w:sz="4" w:space="0" w:color="000000"/>
            </w:tcBorders>
            <w:shd w:val="clear" w:color="auto" w:fill="C6E0B4"/>
            <w:vAlign w:val="bottom"/>
          </w:tcPr>
          <w:p w14:paraId="1835A2B1"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Valor</w:t>
            </w:r>
          </w:p>
        </w:tc>
        <w:tc>
          <w:tcPr>
            <w:tcW w:w="1701" w:type="dxa"/>
            <w:tcBorders>
              <w:top w:val="single" w:sz="4" w:space="0" w:color="000000"/>
              <w:left w:val="nil"/>
              <w:bottom w:val="single" w:sz="4" w:space="0" w:color="000000"/>
              <w:right w:val="single" w:sz="4" w:space="0" w:color="000000"/>
            </w:tcBorders>
            <w:shd w:val="clear" w:color="auto" w:fill="C6E0B4"/>
            <w:vAlign w:val="bottom"/>
          </w:tcPr>
          <w:p w14:paraId="5CAF2E99"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Puesto (de 25)</w:t>
            </w:r>
          </w:p>
        </w:tc>
      </w:tr>
      <w:tr w:rsidR="00B50826" w14:paraId="753AF8BD"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37D613FA"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Analfabetismo</w:t>
            </w:r>
          </w:p>
        </w:tc>
        <w:tc>
          <w:tcPr>
            <w:tcW w:w="1276" w:type="dxa"/>
            <w:tcBorders>
              <w:top w:val="nil"/>
              <w:left w:val="nil"/>
              <w:bottom w:val="single" w:sz="4" w:space="0" w:color="000000"/>
              <w:right w:val="single" w:sz="4" w:space="0" w:color="000000"/>
            </w:tcBorders>
            <w:shd w:val="clear" w:color="auto" w:fill="FFFFFF"/>
            <w:vAlign w:val="bottom"/>
          </w:tcPr>
          <w:p w14:paraId="2AC93F14"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12.9%</w:t>
            </w:r>
          </w:p>
        </w:tc>
        <w:tc>
          <w:tcPr>
            <w:tcW w:w="1701" w:type="dxa"/>
            <w:tcBorders>
              <w:top w:val="nil"/>
              <w:left w:val="nil"/>
              <w:bottom w:val="single" w:sz="4" w:space="0" w:color="000000"/>
              <w:right w:val="single" w:sz="4" w:space="0" w:color="000000"/>
            </w:tcBorders>
            <w:shd w:val="clear" w:color="auto" w:fill="FFFFFF"/>
            <w:vAlign w:val="bottom"/>
          </w:tcPr>
          <w:p w14:paraId="0585B344"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24</w:t>
            </w:r>
          </w:p>
        </w:tc>
      </w:tr>
      <w:tr w:rsidR="00B50826" w14:paraId="74CF60CD"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72655DF9"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 xml:space="preserve">Asistencia escolar </w:t>
            </w:r>
            <w:r>
              <w:rPr>
                <w:rFonts w:ascii="Arial" w:eastAsia="Arial" w:hAnsi="Arial" w:cs="Arial"/>
                <w:color w:val="002060"/>
                <w:sz w:val="12"/>
                <w:szCs w:val="12"/>
              </w:rPr>
              <w:t xml:space="preserve">(de 3 a 16 años q asiste en edad </w:t>
            </w:r>
            <w:proofErr w:type="spellStart"/>
            <w:r>
              <w:rPr>
                <w:rFonts w:ascii="Arial" w:eastAsia="Arial" w:hAnsi="Arial" w:cs="Arial"/>
                <w:color w:val="002060"/>
                <w:sz w:val="12"/>
                <w:szCs w:val="12"/>
              </w:rPr>
              <w:t>corresp</w:t>
            </w:r>
            <w:proofErr w:type="spellEnd"/>
            <w:r>
              <w:rPr>
                <w:rFonts w:ascii="Arial" w:eastAsia="Arial" w:hAnsi="Arial" w:cs="Arial"/>
                <w:color w:val="002060"/>
                <w:sz w:val="12"/>
                <w:szCs w:val="12"/>
              </w:rPr>
              <w:t>.)</w:t>
            </w:r>
          </w:p>
        </w:tc>
        <w:tc>
          <w:tcPr>
            <w:tcW w:w="1276" w:type="dxa"/>
            <w:tcBorders>
              <w:top w:val="nil"/>
              <w:left w:val="nil"/>
              <w:bottom w:val="single" w:sz="4" w:space="0" w:color="000000"/>
              <w:right w:val="single" w:sz="4" w:space="0" w:color="000000"/>
            </w:tcBorders>
            <w:shd w:val="clear" w:color="auto" w:fill="FFFFFF"/>
            <w:vAlign w:val="bottom"/>
          </w:tcPr>
          <w:p w14:paraId="35D30847"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88.2%</w:t>
            </w:r>
          </w:p>
        </w:tc>
        <w:tc>
          <w:tcPr>
            <w:tcW w:w="1701" w:type="dxa"/>
            <w:tcBorders>
              <w:top w:val="nil"/>
              <w:left w:val="nil"/>
              <w:bottom w:val="single" w:sz="4" w:space="0" w:color="000000"/>
              <w:right w:val="single" w:sz="4" w:space="0" w:color="000000"/>
            </w:tcBorders>
            <w:shd w:val="clear" w:color="auto" w:fill="FFFFFF"/>
            <w:vAlign w:val="bottom"/>
          </w:tcPr>
          <w:p w14:paraId="7BF15824"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r w:rsidR="00B50826" w14:paraId="258E031F"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52C17EE6"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Población con secundaria a mas</w:t>
            </w:r>
          </w:p>
        </w:tc>
        <w:tc>
          <w:tcPr>
            <w:tcW w:w="1276" w:type="dxa"/>
            <w:tcBorders>
              <w:top w:val="nil"/>
              <w:left w:val="nil"/>
              <w:bottom w:val="single" w:sz="4" w:space="0" w:color="000000"/>
              <w:right w:val="single" w:sz="4" w:space="0" w:color="000000"/>
            </w:tcBorders>
            <w:shd w:val="clear" w:color="auto" w:fill="FFFFFF"/>
            <w:vAlign w:val="bottom"/>
          </w:tcPr>
          <w:p w14:paraId="642E2315"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40.2%</w:t>
            </w:r>
          </w:p>
        </w:tc>
        <w:tc>
          <w:tcPr>
            <w:tcW w:w="1701" w:type="dxa"/>
            <w:tcBorders>
              <w:top w:val="nil"/>
              <w:left w:val="nil"/>
              <w:bottom w:val="single" w:sz="4" w:space="0" w:color="000000"/>
              <w:right w:val="single" w:sz="4" w:space="0" w:color="000000"/>
            </w:tcBorders>
            <w:shd w:val="clear" w:color="auto" w:fill="FFFFFF"/>
            <w:vAlign w:val="bottom"/>
          </w:tcPr>
          <w:p w14:paraId="5904BB30"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r w:rsidR="00B50826" w14:paraId="0B737935"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541A7834"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Rendimiento escolar en primaria</w:t>
            </w:r>
          </w:p>
        </w:tc>
        <w:tc>
          <w:tcPr>
            <w:tcW w:w="1276" w:type="dxa"/>
            <w:tcBorders>
              <w:top w:val="nil"/>
              <w:left w:val="nil"/>
              <w:bottom w:val="single" w:sz="4" w:space="0" w:color="000000"/>
              <w:right w:val="single" w:sz="4" w:space="0" w:color="000000"/>
            </w:tcBorders>
            <w:shd w:val="clear" w:color="auto" w:fill="FFFFFF"/>
            <w:vAlign w:val="bottom"/>
          </w:tcPr>
          <w:p w14:paraId="168248B9"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12.3%</w:t>
            </w:r>
          </w:p>
        </w:tc>
        <w:tc>
          <w:tcPr>
            <w:tcW w:w="1701" w:type="dxa"/>
            <w:tcBorders>
              <w:top w:val="nil"/>
              <w:left w:val="nil"/>
              <w:bottom w:val="single" w:sz="4" w:space="0" w:color="000000"/>
              <w:right w:val="single" w:sz="4" w:space="0" w:color="000000"/>
            </w:tcBorders>
            <w:shd w:val="clear" w:color="auto" w:fill="FFFFFF"/>
            <w:vAlign w:val="bottom"/>
          </w:tcPr>
          <w:p w14:paraId="1F2C8EEA"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22</w:t>
            </w:r>
          </w:p>
        </w:tc>
      </w:tr>
      <w:tr w:rsidR="00B50826" w14:paraId="2E01FF39"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67FDA3B1"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Rendimiento escolar en secundaria</w:t>
            </w:r>
          </w:p>
        </w:tc>
        <w:tc>
          <w:tcPr>
            <w:tcW w:w="1276" w:type="dxa"/>
            <w:tcBorders>
              <w:top w:val="nil"/>
              <w:left w:val="nil"/>
              <w:bottom w:val="single" w:sz="4" w:space="0" w:color="000000"/>
              <w:right w:val="single" w:sz="4" w:space="0" w:color="000000"/>
            </w:tcBorders>
            <w:shd w:val="clear" w:color="auto" w:fill="FFFFFF"/>
            <w:vAlign w:val="bottom"/>
          </w:tcPr>
          <w:p w14:paraId="087DBB69"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3.5%</w:t>
            </w:r>
          </w:p>
        </w:tc>
        <w:tc>
          <w:tcPr>
            <w:tcW w:w="1701" w:type="dxa"/>
            <w:tcBorders>
              <w:top w:val="nil"/>
              <w:left w:val="nil"/>
              <w:bottom w:val="single" w:sz="4" w:space="0" w:color="000000"/>
              <w:right w:val="single" w:sz="4" w:space="0" w:color="000000"/>
            </w:tcBorders>
            <w:shd w:val="clear" w:color="auto" w:fill="FFFFFF"/>
            <w:vAlign w:val="bottom"/>
          </w:tcPr>
          <w:p w14:paraId="5A8B5328"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w:t>
            </w:r>
          </w:p>
        </w:tc>
      </w:tr>
      <w:tr w:rsidR="00B50826" w14:paraId="73D355AA"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1DA8F172"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Colegio con los tres servicios básicos</w:t>
            </w:r>
          </w:p>
        </w:tc>
        <w:tc>
          <w:tcPr>
            <w:tcW w:w="1276" w:type="dxa"/>
            <w:tcBorders>
              <w:top w:val="nil"/>
              <w:left w:val="nil"/>
              <w:bottom w:val="single" w:sz="4" w:space="0" w:color="000000"/>
              <w:right w:val="single" w:sz="4" w:space="0" w:color="000000"/>
            </w:tcBorders>
            <w:shd w:val="clear" w:color="auto" w:fill="FFFFFF"/>
            <w:vAlign w:val="bottom"/>
          </w:tcPr>
          <w:p w14:paraId="75435DAE"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31.8%</w:t>
            </w:r>
          </w:p>
        </w:tc>
        <w:tc>
          <w:tcPr>
            <w:tcW w:w="1701" w:type="dxa"/>
            <w:tcBorders>
              <w:top w:val="nil"/>
              <w:left w:val="nil"/>
              <w:bottom w:val="single" w:sz="4" w:space="0" w:color="000000"/>
              <w:right w:val="single" w:sz="4" w:space="0" w:color="000000"/>
            </w:tcBorders>
            <w:shd w:val="clear" w:color="auto" w:fill="FFFFFF"/>
            <w:vAlign w:val="bottom"/>
          </w:tcPr>
          <w:p w14:paraId="346DD00D"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w:t>
            </w:r>
          </w:p>
        </w:tc>
      </w:tr>
      <w:tr w:rsidR="00B50826" w14:paraId="0EE03E19" w14:textId="77777777" w:rsidTr="008500BE">
        <w:trPr>
          <w:trHeight w:val="255"/>
        </w:trPr>
        <w:tc>
          <w:tcPr>
            <w:tcW w:w="4248" w:type="dxa"/>
            <w:tcBorders>
              <w:top w:val="nil"/>
              <w:left w:val="single" w:sz="4" w:space="0" w:color="000000"/>
              <w:bottom w:val="single" w:sz="4" w:space="0" w:color="000000"/>
              <w:right w:val="single" w:sz="4" w:space="0" w:color="000000"/>
            </w:tcBorders>
            <w:shd w:val="clear" w:color="auto" w:fill="FFFFFF"/>
            <w:vAlign w:val="bottom"/>
          </w:tcPr>
          <w:p w14:paraId="0D8A5DE3"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Colegio con acceso a internet</w:t>
            </w:r>
          </w:p>
        </w:tc>
        <w:tc>
          <w:tcPr>
            <w:tcW w:w="1276" w:type="dxa"/>
            <w:tcBorders>
              <w:top w:val="nil"/>
              <w:left w:val="nil"/>
              <w:bottom w:val="single" w:sz="4" w:space="0" w:color="000000"/>
              <w:right w:val="single" w:sz="4" w:space="0" w:color="000000"/>
            </w:tcBorders>
            <w:shd w:val="clear" w:color="auto" w:fill="FFFFFF"/>
            <w:vAlign w:val="bottom"/>
          </w:tcPr>
          <w:p w14:paraId="10407C26"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31.5%</w:t>
            </w:r>
          </w:p>
        </w:tc>
        <w:tc>
          <w:tcPr>
            <w:tcW w:w="1701" w:type="dxa"/>
            <w:tcBorders>
              <w:top w:val="nil"/>
              <w:left w:val="nil"/>
              <w:bottom w:val="single" w:sz="4" w:space="0" w:color="000000"/>
              <w:right w:val="single" w:sz="4" w:space="0" w:color="000000"/>
            </w:tcBorders>
            <w:shd w:val="clear" w:color="auto" w:fill="FFFFFF"/>
            <w:vAlign w:val="bottom"/>
          </w:tcPr>
          <w:p w14:paraId="14E77781"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w:t>
            </w:r>
          </w:p>
        </w:tc>
      </w:tr>
    </w:tbl>
    <w:p w14:paraId="4BBAFB54"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 xml:space="preserve">                   Fuente: INCORE 2019</w:t>
      </w:r>
    </w:p>
    <w:p w14:paraId="5F48B2D6"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cuanto al rubro de salud, los indicadores más críticos son la desnutrición crónica y prevalencia de anemia, que están asociados al bajo nivel de ingresos económicos de la población y altos niveles de pobreza; otro indicador crítico es la baja cobertura de personal médico, para atender oportunamente a los pacientes ante la presencia de enfermedades; la esperanza de vida al nacer es también menor al indicador nacional (72.7), como se observa en el siguiente cuadro. </w:t>
      </w:r>
    </w:p>
    <w:p w14:paraId="0301961C" w14:textId="77777777" w:rsidR="00B50826" w:rsidRDefault="00B50826">
      <w:pPr>
        <w:jc w:val="both"/>
        <w:rPr>
          <w:rFonts w:ascii="Arial" w:eastAsia="Arial" w:hAnsi="Arial" w:cs="Arial"/>
          <w:color w:val="002060"/>
          <w:sz w:val="20"/>
          <w:szCs w:val="20"/>
        </w:rPr>
      </w:pPr>
    </w:p>
    <w:p w14:paraId="6EE865E5" w14:textId="77777777" w:rsidR="00B50826" w:rsidRDefault="00B50826">
      <w:pPr>
        <w:jc w:val="both"/>
        <w:rPr>
          <w:rFonts w:ascii="Arial" w:eastAsia="Arial" w:hAnsi="Arial" w:cs="Arial"/>
          <w:color w:val="002060"/>
          <w:sz w:val="20"/>
          <w:szCs w:val="20"/>
        </w:rPr>
      </w:pPr>
    </w:p>
    <w:p w14:paraId="6499E519"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Indicador de salud.</w:t>
      </w:r>
    </w:p>
    <w:p w14:paraId="7EF6D801" w14:textId="77777777" w:rsidR="00B50826" w:rsidRDefault="00006AE2" w:rsidP="008500BE">
      <w:pPr>
        <w:rPr>
          <w:rFonts w:ascii="Arial" w:eastAsia="Arial" w:hAnsi="Arial" w:cs="Arial"/>
          <w:color w:val="002060"/>
          <w:sz w:val="20"/>
          <w:szCs w:val="20"/>
        </w:rPr>
      </w:pPr>
      <w:r>
        <w:rPr>
          <w:rFonts w:ascii="Arial" w:eastAsia="Arial" w:hAnsi="Arial" w:cs="Arial"/>
          <w:b/>
          <w:i/>
          <w:color w:val="002060"/>
          <w:sz w:val="20"/>
          <w:szCs w:val="20"/>
        </w:rPr>
        <w:t>Cuadro Nº 12</w:t>
      </w:r>
    </w:p>
    <w:p w14:paraId="5EC99C17" w14:textId="77777777" w:rsidR="00B50826" w:rsidRDefault="00B50826">
      <w:pPr>
        <w:jc w:val="both"/>
        <w:rPr>
          <w:rFonts w:ascii="Arial" w:eastAsia="Arial" w:hAnsi="Arial" w:cs="Arial"/>
          <w:color w:val="002060"/>
          <w:sz w:val="20"/>
          <w:szCs w:val="20"/>
        </w:rPr>
      </w:pPr>
    </w:p>
    <w:tbl>
      <w:tblPr>
        <w:tblStyle w:val="aff"/>
        <w:tblW w:w="0" w:type="auto"/>
        <w:tblInd w:w="0" w:type="dxa"/>
        <w:tblLook w:val="0400" w:firstRow="0" w:lastRow="0" w:firstColumn="0" w:lastColumn="0" w:noHBand="0" w:noVBand="1"/>
      </w:tblPr>
      <w:tblGrid>
        <w:gridCol w:w="2459"/>
        <w:gridCol w:w="682"/>
        <w:gridCol w:w="1337"/>
      </w:tblGrid>
      <w:tr w:rsidR="00B50826" w14:paraId="003DB70D" w14:textId="77777777">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C6E0B4"/>
            <w:vAlign w:val="bottom"/>
          </w:tcPr>
          <w:p w14:paraId="777616C3" w14:textId="77777777" w:rsidR="00B50826" w:rsidRDefault="00006AE2">
            <w:pPr>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Indicador</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08543313"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Valor</w:t>
            </w:r>
          </w:p>
        </w:tc>
        <w:tc>
          <w:tcPr>
            <w:tcW w:w="0" w:type="auto"/>
            <w:tcBorders>
              <w:top w:val="single" w:sz="4" w:space="0" w:color="000000"/>
              <w:left w:val="nil"/>
              <w:bottom w:val="single" w:sz="4" w:space="0" w:color="000000"/>
              <w:right w:val="single" w:sz="4" w:space="0" w:color="000000"/>
            </w:tcBorders>
            <w:shd w:val="clear" w:color="auto" w:fill="C6E0B4"/>
            <w:vAlign w:val="bottom"/>
          </w:tcPr>
          <w:p w14:paraId="213819AD"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Puesto (de 25)</w:t>
            </w:r>
          </w:p>
        </w:tc>
      </w:tr>
      <w:tr w:rsidR="00B50826" w14:paraId="5D24FD1D"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AA41FD9"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Esperanza de vida al nacer</w:t>
            </w:r>
          </w:p>
        </w:tc>
        <w:tc>
          <w:tcPr>
            <w:tcW w:w="0" w:type="auto"/>
            <w:tcBorders>
              <w:top w:val="nil"/>
              <w:left w:val="nil"/>
              <w:bottom w:val="single" w:sz="4" w:space="0" w:color="000000"/>
              <w:right w:val="single" w:sz="4" w:space="0" w:color="000000"/>
            </w:tcBorders>
            <w:shd w:val="clear" w:color="auto" w:fill="FFFFFF"/>
            <w:vAlign w:val="bottom"/>
          </w:tcPr>
          <w:p w14:paraId="6566B587"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72.7</w:t>
            </w:r>
          </w:p>
        </w:tc>
        <w:tc>
          <w:tcPr>
            <w:tcW w:w="0" w:type="auto"/>
            <w:tcBorders>
              <w:top w:val="nil"/>
              <w:left w:val="nil"/>
              <w:bottom w:val="single" w:sz="4" w:space="0" w:color="000000"/>
              <w:right w:val="single" w:sz="4" w:space="0" w:color="000000"/>
            </w:tcBorders>
            <w:shd w:val="clear" w:color="auto" w:fill="FFFFFF"/>
            <w:vAlign w:val="bottom"/>
          </w:tcPr>
          <w:p w14:paraId="304EE146"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16</w:t>
            </w:r>
          </w:p>
        </w:tc>
      </w:tr>
      <w:tr w:rsidR="00B50826" w14:paraId="39BDA903"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F0F34B3"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Desnutrición Crónica</w:t>
            </w:r>
          </w:p>
        </w:tc>
        <w:tc>
          <w:tcPr>
            <w:tcW w:w="0" w:type="auto"/>
            <w:tcBorders>
              <w:top w:val="nil"/>
              <w:left w:val="nil"/>
              <w:bottom w:val="single" w:sz="4" w:space="0" w:color="000000"/>
              <w:right w:val="single" w:sz="4" w:space="0" w:color="000000"/>
            </w:tcBorders>
            <w:shd w:val="clear" w:color="auto" w:fill="FFFFFF"/>
            <w:vAlign w:val="bottom"/>
          </w:tcPr>
          <w:p w14:paraId="356597D6"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15.7%</w:t>
            </w:r>
          </w:p>
        </w:tc>
        <w:tc>
          <w:tcPr>
            <w:tcW w:w="0" w:type="auto"/>
            <w:tcBorders>
              <w:top w:val="nil"/>
              <w:left w:val="nil"/>
              <w:bottom w:val="single" w:sz="4" w:space="0" w:color="000000"/>
              <w:right w:val="single" w:sz="4" w:space="0" w:color="000000"/>
            </w:tcBorders>
            <w:shd w:val="clear" w:color="auto" w:fill="FFFFFF"/>
            <w:vAlign w:val="bottom"/>
          </w:tcPr>
          <w:p w14:paraId="157EBA4C"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r w:rsidR="00B50826" w14:paraId="4A525C4A"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3C09A2CB"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Prevalencia de anemia</w:t>
            </w:r>
          </w:p>
        </w:tc>
        <w:tc>
          <w:tcPr>
            <w:tcW w:w="0" w:type="auto"/>
            <w:tcBorders>
              <w:top w:val="nil"/>
              <w:left w:val="nil"/>
              <w:bottom w:val="single" w:sz="4" w:space="0" w:color="000000"/>
              <w:right w:val="single" w:sz="4" w:space="0" w:color="000000"/>
            </w:tcBorders>
            <w:shd w:val="clear" w:color="auto" w:fill="FFFFFF"/>
            <w:vAlign w:val="bottom"/>
          </w:tcPr>
          <w:p w14:paraId="58B72341"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43.8%</w:t>
            </w:r>
          </w:p>
        </w:tc>
        <w:tc>
          <w:tcPr>
            <w:tcW w:w="0" w:type="auto"/>
            <w:tcBorders>
              <w:top w:val="nil"/>
              <w:left w:val="nil"/>
              <w:bottom w:val="single" w:sz="4" w:space="0" w:color="000000"/>
              <w:right w:val="single" w:sz="4" w:space="0" w:color="000000"/>
            </w:tcBorders>
            <w:shd w:val="clear" w:color="auto" w:fill="FFFFFF"/>
            <w:vAlign w:val="bottom"/>
          </w:tcPr>
          <w:p w14:paraId="04D068D5"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10</w:t>
            </w:r>
          </w:p>
        </w:tc>
      </w:tr>
      <w:tr w:rsidR="00B50826" w14:paraId="1F45C577"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4AB6377"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Vacunación</w:t>
            </w:r>
          </w:p>
        </w:tc>
        <w:tc>
          <w:tcPr>
            <w:tcW w:w="0" w:type="auto"/>
            <w:tcBorders>
              <w:top w:val="nil"/>
              <w:left w:val="nil"/>
              <w:bottom w:val="single" w:sz="4" w:space="0" w:color="000000"/>
              <w:right w:val="single" w:sz="4" w:space="0" w:color="000000"/>
            </w:tcBorders>
            <w:shd w:val="clear" w:color="auto" w:fill="FFFFFF"/>
            <w:vAlign w:val="bottom"/>
          </w:tcPr>
          <w:p w14:paraId="4E13AB3D"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84.5%</w:t>
            </w:r>
          </w:p>
        </w:tc>
        <w:tc>
          <w:tcPr>
            <w:tcW w:w="0" w:type="auto"/>
            <w:tcBorders>
              <w:top w:val="nil"/>
              <w:left w:val="nil"/>
              <w:bottom w:val="single" w:sz="4" w:space="0" w:color="000000"/>
              <w:right w:val="single" w:sz="4" w:space="0" w:color="000000"/>
            </w:tcBorders>
            <w:shd w:val="clear" w:color="auto" w:fill="FFFFFF"/>
            <w:vAlign w:val="bottom"/>
          </w:tcPr>
          <w:p w14:paraId="639D2949"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5</w:t>
            </w:r>
          </w:p>
        </w:tc>
      </w:tr>
      <w:tr w:rsidR="00B50826" w14:paraId="0E9EAAAA"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2B527F1"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Cobertura del personal médico</w:t>
            </w:r>
          </w:p>
        </w:tc>
        <w:tc>
          <w:tcPr>
            <w:tcW w:w="0" w:type="auto"/>
            <w:tcBorders>
              <w:top w:val="nil"/>
              <w:left w:val="nil"/>
              <w:bottom w:val="single" w:sz="4" w:space="0" w:color="000000"/>
              <w:right w:val="single" w:sz="4" w:space="0" w:color="000000"/>
            </w:tcBorders>
            <w:shd w:val="clear" w:color="auto" w:fill="FFFFFF"/>
            <w:vAlign w:val="bottom"/>
          </w:tcPr>
          <w:p w14:paraId="0ACA2DDB"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8</w:t>
            </w:r>
          </w:p>
        </w:tc>
        <w:tc>
          <w:tcPr>
            <w:tcW w:w="0" w:type="auto"/>
            <w:tcBorders>
              <w:top w:val="nil"/>
              <w:left w:val="nil"/>
              <w:bottom w:val="single" w:sz="4" w:space="0" w:color="000000"/>
              <w:right w:val="single" w:sz="4" w:space="0" w:color="000000"/>
            </w:tcBorders>
            <w:shd w:val="clear" w:color="auto" w:fill="FFFFFF"/>
            <w:vAlign w:val="bottom"/>
          </w:tcPr>
          <w:p w14:paraId="094DF437"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18</w:t>
            </w:r>
          </w:p>
        </w:tc>
      </w:tr>
      <w:tr w:rsidR="00B50826" w14:paraId="12DC7BA5" w14:textId="77777777">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7805F693"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Partos Instituciones</w:t>
            </w:r>
          </w:p>
        </w:tc>
        <w:tc>
          <w:tcPr>
            <w:tcW w:w="0" w:type="auto"/>
            <w:tcBorders>
              <w:top w:val="nil"/>
              <w:left w:val="nil"/>
              <w:bottom w:val="single" w:sz="4" w:space="0" w:color="000000"/>
              <w:right w:val="single" w:sz="4" w:space="0" w:color="000000"/>
            </w:tcBorders>
            <w:shd w:val="clear" w:color="auto" w:fill="FFFFFF"/>
            <w:vAlign w:val="bottom"/>
          </w:tcPr>
          <w:p w14:paraId="17D155CC"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94.4%</w:t>
            </w:r>
          </w:p>
        </w:tc>
        <w:tc>
          <w:tcPr>
            <w:tcW w:w="0" w:type="auto"/>
            <w:tcBorders>
              <w:top w:val="nil"/>
              <w:left w:val="nil"/>
              <w:bottom w:val="single" w:sz="4" w:space="0" w:color="000000"/>
              <w:right w:val="single" w:sz="4" w:space="0" w:color="000000"/>
            </w:tcBorders>
            <w:shd w:val="clear" w:color="auto" w:fill="FFFFFF"/>
            <w:vAlign w:val="bottom"/>
          </w:tcPr>
          <w:p w14:paraId="54D53844"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14</w:t>
            </w:r>
          </w:p>
        </w:tc>
      </w:tr>
    </w:tbl>
    <w:p w14:paraId="2F8034D8" w14:textId="77777777" w:rsidR="00B50826" w:rsidRDefault="00006AE2">
      <w:pPr>
        <w:spacing w:after="240"/>
        <w:ind w:left="720" w:firstLine="720"/>
        <w:jc w:val="both"/>
        <w:rPr>
          <w:rFonts w:ascii="Arial" w:eastAsia="Arial" w:hAnsi="Arial" w:cs="Arial"/>
          <w:color w:val="002060"/>
          <w:sz w:val="20"/>
          <w:szCs w:val="20"/>
        </w:rPr>
      </w:pPr>
      <w:r>
        <w:rPr>
          <w:rFonts w:ascii="Arial" w:eastAsia="Arial" w:hAnsi="Arial" w:cs="Arial"/>
          <w:color w:val="002060"/>
          <w:sz w:val="20"/>
          <w:szCs w:val="20"/>
        </w:rPr>
        <w:t>Fuente: INCORE 2019</w:t>
      </w:r>
    </w:p>
    <w:p w14:paraId="64781C61" w14:textId="77777777" w:rsidR="00B50826" w:rsidRDefault="00006AE2">
      <w:pPr>
        <w:spacing w:after="240"/>
        <w:jc w:val="both"/>
        <w:rPr>
          <w:rFonts w:ascii="Arial" w:eastAsia="Arial" w:hAnsi="Arial" w:cs="Arial"/>
          <w:color w:val="002060"/>
          <w:sz w:val="20"/>
          <w:szCs w:val="20"/>
        </w:rPr>
      </w:pPr>
      <w:r>
        <w:rPr>
          <w:rFonts w:ascii="Arial" w:eastAsia="Arial" w:hAnsi="Arial" w:cs="Arial"/>
          <w:color w:val="002060"/>
          <w:sz w:val="20"/>
          <w:szCs w:val="20"/>
        </w:rPr>
        <w:t xml:space="preserve">En cuanto a los indicadores de empleo, la región de Huánuco se ubica en el último quintil, a excepción de la brecha en género, estos indicadores están vinculados a la limitada dinámica económica que existe en la región, limitada por las escasas inversiones, para que dinamicen la economía, como se puede observar en el siguiente cuadro. </w:t>
      </w:r>
    </w:p>
    <w:p w14:paraId="6EE5B43D" w14:textId="77777777" w:rsidR="00B50826" w:rsidRDefault="00006AE2">
      <w:pPr>
        <w:spacing w:after="240"/>
        <w:jc w:val="both"/>
        <w:rPr>
          <w:rFonts w:ascii="Arial" w:eastAsia="Arial" w:hAnsi="Arial" w:cs="Arial"/>
          <w:color w:val="002060"/>
          <w:sz w:val="20"/>
          <w:szCs w:val="20"/>
        </w:rPr>
      </w:pPr>
      <w:r>
        <w:rPr>
          <w:rFonts w:ascii="Arial" w:eastAsia="Arial" w:hAnsi="Arial" w:cs="Arial"/>
          <w:b/>
          <w:color w:val="002060"/>
          <w:sz w:val="20"/>
          <w:szCs w:val="20"/>
        </w:rPr>
        <w:t>Indicadores Laborales</w:t>
      </w:r>
      <w:r>
        <w:rPr>
          <w:rFonts w:ascii="Arial" w:eastAsia="Arial" w:hAnsi="Arial" w:cs="Arial"/>
          <w:color w:val="002060"/>
          <w:sz w:val="20"/>
          <w:szCs w:val="20"/>
        </w:rPr>
        <w:t>.</w:t>
      </w:r>
    </w:p>
    <w:p w14:paraId="7D4083CA" w14:textId="77777777" w:rsidR="00B50826" w:rsidRDefault="00006AE2" w:rsidP="008500BE">
      <w:pPr>
        <w:spacing w:after="240"/>
        <w:rPr>
          <w:rFonts w:ascii="Arial" w:eastAsia="Arial" w:hAnsi="Arial" w:cs="Arial"/>
          <w:b/>
          <w:color w:val="002060"/>
          <w:sz w:val="20"/>
          <w:szCs w:val="20"/>
        </w:rPr>
      </w:pPr>
      <w:r>
        <w:rPr>
          <w:rFonts w:ascii="Arial" w:eastAsia="Arial" w:hAnsi="Arial" w:cs="Arial"/>
          <w:b/>
          <w:i/>
          <w:color w:val="002060"/>
          <w:sz w:val="20"/>
          <w:szCs w:val="20"/>
        </w:rPr>
        <w:lastRenderedPageBreak/>
        <w:t>Cuadro Nº 13</w:t>
      </w:r>
    </w:p>
    <w:tbl>
      <w:tblPr>
        <w:tblStyle w:val="aff0"/>
        <w:tblW w:w="0" w:type="auto"/>
        <w:tblInd w:w="0" w:type="dxa"/>
        <w:tblLook w:val="0400" w:firstRow="0" w:lastRow="0" w:firstColumn="0" w:lastColumn="0" w:noHBand="0" w:noVBand="1"/>
      </w:tblPr>
      <w:tblGrid>
        <w:gridCol w:w="3125"/>
        <w:gridCol w:w="1548"/>
        <w:gridCol w:w="1418"/>
      </w:tblGrid>
      <w:tr w:rsidR="00B50826" w14:paraId="2B8CC66A" w14:textId="77777777" w:rsidTr="008500BE">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C6E0B4"/>
            <w:vAlign w:val="bottom"/>
          </w:tcPr>
          <w:p w14:paraId="2F0CD17F" w14:textId="77777777" w:rsidR="00B50826" w:rsidRDefault="00006AE2">
            <w:pPr>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Indicador</w:t>
            </w:r>
          </w:p>
        </w:tc>
        <w:tc>
          <w:tcPr>
            <w:tcW w:w="1548" w:type="dxa"/>
            <w:tcBorders>
              <w:top w:val="single" w:sz="4" w:space="0" w:color="000000"/>
              <w:left w:val="nil"/>
              <w:bottom w:val="single" w:sz="4" w:space="0" w:color="000000"/>
              <w:right w:val="single" w:sz="4" w:space="0" w:color="000000"/>
            </w:tcBorders>
            <w:shd w:val="clear" w:color="auto" w:fill="C6E0B4"/>
            <w:vAlign w:val="bottom"/>
          </w:tcPr>
          <w:p w14:paraId="19CDCB62"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Valor</w:t>
            </w:r>
          </w:p>
        </w:tc>
        <w:tc>
          <w:tcPr>
            <w:tcW w:w="1418" w:type="dxa"/>
            <w:tcBorders>
              <w:top w:val="single" w:sz="4" w:space="0" w:color="000000"/>
              <w:left w:val="nil"/>
              <w:bottom w:val="single" w:sz="4" w:space="0" w:color="000000"/>
              <w:right w:val="single" w:sz="4" w:space="0" w:color="000000"/>
            </w:tcBorders>
            <w:shd w:val="clear" w:color="auto" w:fill="C6E0B4"/>
            <w:vAlign w:val="bottom"/>
          </w:tcPr>
          <w:p w14:paraId="070024B4" w14:textId="77777777" w:rsidR="00B50826" w:rsidRDefault="00006AE2">
            <w:pPr>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Puesto (de 25)</w:t>
            </w:r>
          </w:p>
        </w:tc>
      </w:tr>
      <w:tr w:rsidR="00B50826" w14:paraId="15155740" w14:textId="77777777" w:rsidTr="008500BE">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52A48CC0"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Nivel de ingresos por trabajo</w:t>
            </w:r>
          </w:p>
        </w:tc>
        <w:tc>
          <w:tcPr>
            <w:tcW w:w="1548" w:type="dxa"/>
            <w:tcBorders>
              <w:top w:val="nil"/>
              <w:left w:val="nil"/>
              <w:bottom w:val="single" w:sz="4" w:space="0" w:color="000000"/>
              <w:right w:val="single" w:sz="4" w:space="0" w:color="000000"/>
            </w:tcBorders>
            <w:shd w:val="clear" w:color="auto" w:fill="FFFFFF"/>
            <w:vAlign w:val="bottom"/>
          </w:tcPr>
          <w:p w14:paraId="0DB87D17"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978</w:t>
            </w:r>
          </w:p>
        </w:tc>
        <w:tc>
          <w:tcPr>
            <w:tcW w:w="1418" w:type="dxa"/>
            <w:tcBorders>
              <w:top w:val="nil"/>
              <w:left w:val="nil"/>
              <w:bottom w:val="single" w:sz="4" w:space="0" w:color="000000"/>
              <w:right w:val="single" w:sz="4" w:space="0" w:color="000000"/>
            </w:tcBorders>
            <w:shd w:val="clear" w:color="auto" w:fill="FFFFFF"/>
            <w:vAlign w:val="bottom"/>
          </w:tcPr>
          <w:p w14:paraId="79A39EF0"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w:t>
            </w:r>
          </w:p>
        </w:tc>
      </w:tr>
      <w:tr w:rsidR="00B50826" w14:paraId="11A01D5D" w14:textId="77777777" w:rsidTr="008500BE">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EC0E1AD"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Brecha de género en ingresos laborales</w:t>
            </w:r>
          </w:p>
        </w:tc>
        <w:tc>
          <w:tcPr>
            <w:tcW w:w="1548" w:type="dxa"/>
            <w:tcBorders>
              <w:top w:val="nil"/>
              <w:left w:val="nil"/>
              <w:bottom w:val="single" w:sz="4" w:space="0" w:color="000000"/>
              <w:right w:val="single" w:sz="4" w:space="0" w:color="000000"/>
            </w:tcBorders>
            <w:shd w:val="clear" w:color="auto" w:fill="FFFFFF"/>
            <w:vAlign w:val="bottom"/>
          </w:tcPr>
          <w:p w14:paraId="789EA939"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31.6%</w:t>
            </w:r>
          </w:p>
        </w:tc>
        <w:tc>
          <w:tcPr>
            <w:tcW w:w="1418" w:type="dxa"/>
            <w:tcBorders>
              <w:top w:val="nil"/>
              <w:left w:val="nil"/>
              <w:bottom w:val="single" w:sz="4" w:space="0" w:color="000000"/>
              <w:right w:val="single" w:sz="4" w:space="0" w:color="000000"/>
            </w:tcBorders>
            <w:shd w:val="clear" w:color="auto" w:fill="FFFFFF"/>
            <w:vAlign w:val="bottom"/>
          </w:tcPr>
          <w:p w14:paraId="79CEE7D0"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13</w:t>
            </w:r>
          </w:p>
        </w:tc>
      </w:tr>
      <w:tr w:rsidR="00B50826" w14:paraId="52461963" w14:textId="77777777" w:rsidTr="008500BE">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46932392"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Empleo adecuado</w:t>
            </w:r>
          </w:p>
        </w:tc>
        <w:tc>
          <w:tcPr>
            <w:tcW w:w="1548" w:type="dxa"/>
            <w:tcBorders>
              <w:top w:val="nil"/>
              <w:left w:val="nil"/>
              <w:bottom w:val="single" w:sz="4" w:space="0" w:color="000000"/>
              <w:right w:val="single" w:sz="4" w:space="0" w:color="000000"/>
            </w:tcBorders>
            <w:shd w:val="clear" w:color="auto" w:fill="FFFFFF"/>
            <w:vAlign w:val="bottom"/>
          </w:tcPr>
          <w:p w14:paraId="15C86704"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36.0%</w:t>
            </w:r>
          </w:p>
        </w:tc>
        <w:tc>
          <w:tcPr>
            <w:tcW w:w="1418" w:type="dxa"/>
            <w:tcBorders>
              <w:top w:val="nil"/>
              <w:left w:val="nil"/>
              <w:bottom w:val="single" w:sz="4" w:space="0" w:color="000000"/>
              <w:right w:val="single" w:sz="4" w:space="0" w:color="000000"/>
            </w:tcBorders>
            <w:shd w:val="clear" w:color="auto" w:fill="FFFFFF"/>
            <w:vAlign w:val="bottom"/>
          </w:tcPr>
          <w:p w14:paraId="4424C92A"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21</w:t>
            </w:r>
          </w:p>
        </w:tc>
      </w:tr>
      <w:tr w:rsidR="00B50826" w14:paraId="681120D2" w14:textId="77777777" w:rsidTr="008500BE">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6648CF97"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Fuerza laboral educada</w:t>
            </w:r>
          </w:p>
        </w:tc>
        <w:tc>
          <w:tcPr>
            <w:tcW w:w="1548" w:type="dxa"/>
            <w:tcBorders>
              <w:top w:val="nil"/>
              <w:left w:val="nil"/>
              <w:bottom w:val="single" w:sz="4" w:space="0" w:color="000000"/>
              <w:right w:val="single" w:sz="4" w:space="0" w:color="000000"/>
            </w:tcBorders>
            <w:shd w:val="clear" w:color="auto" w:fill="FFFFFF"/>
            <w:vAlign w:val="bottom"/>
          </w:tcPr>
          <w:p w14:paraId="1250D1E3"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20.5%</w:t>
            </w:r>
          </w:p>
        </w:tc>
        <w:tc>
          <w:tcPr>
            <w:tcW w:w="1418" w:type="dxa"/>
            <w:tcBorders>
              <w:top w:val="nil"/>
              <w:left w:val="nil"/>
              <w:bottom w:val="single" w:sz="4" w:space="0" w:color="000000"/>
              <w:right w:val="single" w:sz="4" w:space="0" w:color="000000"/>
            </w:tcBorders>
            <w:shd w:val="clear" w:color="auto" w:fill="FFFFFF"/>
            <w:vAlign w:val="bottom"/>
          </w:tcPr>
          <w:p w14:paraId="4190B8DF"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21</w:t>
            </w:r>
          </w:p>
        </w:tc>
      </w:tr>
      <w:tr w:rsidR="00B50826" w14:paraId="507AE8F9" w14:textId="77777777" w:rsidTr="008500BE">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74250203"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Empleo informal</w:t>
            </w:r>
          </w:p>
        </w:tc>
        <w:tc>
          <w:tcPr>
            <w:tcW w:w="1548" w:type="dxa"/>
            <w:tcBorders>
              <w:top w:val="nil"/>
              <w:left w:val="nil"/>
              <w:bottom w:val="single" w:sz="4" w:space="0" w:color="000000"/>
              <w:right w:val="single" w:sz="4" w:space="0" w:color="000000"/>
            </w:tcBorders>
            <w:shd w:val="clear" w:color="auto" w:fill="FFFFFF"/>
            <w:vAlign w:val="bottom"/>
          </w:tcPr>
          <w:p w14:paraId="4ACB123E"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87.3%</w:t>
            </w:r>
          </w:p>
        </w:tc>
        <w:tc>
          <w:tcPr>
            <w:tcW w:w="1418" w:type="dxa"/>
            <w:tcBorders>
              <w:top w:val="nil"/>
              <w:left w:val="nil"/>
              <w:bottom w:val="single" w:sz="4" w:space="0" w:color="000000"/>
              <w:right w:val="single" w:sz="4" w:space="0" w:color="000000"/>
            </w:tcBorders>
            <w:shd w:val="clear" w:color="auto" w:fill="FFFFFF"/>
            <w:vAlign w:val="bottom"/>
          </w:tcPr>
          <w:p w14:paraId="6B87B6C1"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21</w:t>
            </w:r>
          </w:p>
        </w:tc>
      </w:tr>
      <w:tr w:rsidR="00B50826" w14:paraId="6190931A" w14:textId="77777777" w:rsidTr="008500BE">
        <w:trPr>
          <w:trHeight w:val="255"/>
        </w:trPr>
        <w:tc>
          <w:tcPr>
            <w:tcW w:w="0" w:type="auto"/>
            <w:tcBorders>
              <w:top w:val="nil"/>
              <w:left w:val="single" w:sz="4" w:space="0" w:color="000000"/>
              <w:bottom w:val="single" w:sz="4" w:space="0" w:color="000000"/>
              <w:right w:val="single" w:sz="4" w:space="0" w:color="000000"/>
            </w:tcBorders>
            <w:shd w:val="clear" w:color="auto" w:fill="FFFFFF"/>
            <w:vAlign w:val="bottom"/>
          </w:tcPr>
          <w:p w14:paraId="164870CD" w14:textId="77777777" w:rsidR="00B50826" w:rsidRDefault="00006AE2">
            <w:pP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Creación del empleo formal</w:t>
            </w:r>
          </w:p>
        </w:tc>
        <w:tc>
          <w:tcPr>
            <w:tcW w:w="1548" w:type="dxa"/>
            <w:tcBorders>
              <w:top w:val="nil"/>
              <w:left w:val="nil"/>
              <w:bottom w:val="single" w:sz="4" w:space="0" w:color="000000"/>
              <w:right w:val="single" w:sz="4" w:space="0" w:color="000000"/>
            </w:tcBorders>
            <w:shd w:val="clear" w:color="auto" w:fill="FFFFFF"/>
            <w:vAlign w:val="bottom"/>
          </w:tcPr>
          <w:p w14:paraId="741C21DD"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0</w:t>
            </w:r>
          </w:p>
        </w:tc>
        <w:tc>
          <w:tcPr>
            <w:tcW w:w="1418" w:type="dxa"/>
            <w:tcBorders>
              <w:top w:val="nil"/>
              <w:left w:val="nil"/>
              <w:bottom w:val="single" w:sz="4" w:space="0" w:color="000000"/>
              <w:right w:val="single" w:sz="4" w:space="0" w:color="000000"/>
            </w:tcBorders>
            <w:shd w:val="clear" w:color="auto" w:fill="FFFFFF"/>
            <w:vAlign w:val="bottom"/>
          </w:tcPr>
          <w:p w14:paraId="764C20BB" w14:textId="77777777" w:rsidR="00B50826" w:rsidRDefault="00006AE2">
            <w:pPr>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23</w:t>
            </w:r>
          </w:p>
        </w:tc>
      </w:tr>
    </w:tbl>
    <w:p w14:paraId="02683F51" w14:textId="77777777" w:rsidR="00B50826" w:rsidRDefault="00B50826">
      <w:pPr>
        <w:rPr>
          <w:rFonts w:ascii="Arial" w:eastAsia="Arial" w:hAnsi="Arial" w:cs="Arial"/>
          <w:color w:val="002060"/>
          <w:sz w:val="20"/>
          <w:szCs w:val="20"/>
        </w:rPr>
      </w:pPr>
    </w:p>
    <w:p w14:paraId="7451A4FE" w14:textId="77777777" w:rsidR="00B50826" w:rsidRDefault="00B50826">
      <w:pPr>
        <w:pBdr>
          <w:top w:val="nil"/>
          <w:left w:val="nil"/>
          <w:bottom w:val="nil"/>
          <w:right w:val="nil"/>
          <w:between w:val="nil"/>
        </w:pBdr>
        <w:spacing w:after="240"/>
        <w:rPr>
          <w:rFonts w:ascii="Arial" w:eastAsia="Arial" w:hAnsi="Arial" w:cs="Arial"/>
          <w:b/>
          <w:color w:val="002060"/>
          <w:sz w:val="20"/>
          <w:szCs w:val="20"/>
        </w:rPr>
      </w:pPr>
    </w:p>
    <w:p w14:paraId="7B33A8AC" w14:textId="77777777" w:rsidR="00B50826" w:rsidRDefault="00006AE2">
      <w:pPr>
        <w:numPr>
          <w:ilvl w:val="0"/>
          <w:numId w:val="14"/>
        </w:numPr>
        <w:pBdr>
          <w:top w:val="nil"/>
          <w:left w:val="nil"/>
          <w:bottom w:val="nil"/>
          <w:right w:val="nil"/>
          <w:between w:val="nil"/>
        </w:pBdr>
        <w:spacing w:after="240"/>
        <w:ind w:left="0" w:hanging="426"/>
        <w:rPr>
          <w:rFonts w:ascii="Arial" w:eastAsia="Arial" w:hAnsi="Arial" w:cs="Arial"/>
          <w:b/>
          <w:color w:val="002060"/>
          <w:sz w:val="20"/>
          <w:szCs w:val="20"/>
        </w:rPr>
      </w:pPr>
      <w:r>
        <w:rPr>
          <w:rFonts w:ascii="Arial" w:eastAsia="Arial" w:hAnsi="Arial" w:cs="Arial"/>
          <w:b/>
          <w:color w:val="002060"/>
          <w:sz w:val="20"/>
          <w:szCs w:val="20"/>
        </w:rPr>
        <w:t>Cultural.</w:t>
      </w:r>
    </w:p>
    <w:p w14:paraId="07DABDC2"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 región Huánuco cuenta con una enorme riqueza cultural, que incluye diversidad tanto </w:t>
      </w:r>
      <w:proofErr w:type="spellStart"/>
      <w:r>
        <w:rPr>
          <w:rFonts w:ascii="Arial" w:eastAsia="Arial" w:hAnsi="Arial" w:cs="Arial"/>
          <w:color w:val="002060"/>
          <w:sz w:val="20"/>
          <w:szCs w:val="20"/>
        </w:rPr>
        <w:t>pre-inca</w:t>
      </w:r>
      <w:proofErr w:type="spellEnd"/>
      <w:r>
        <w:rPr>
          <w:rFonts w:ascii="Arial" w:eastAsia="Arial" w:hAnsi="Arial" w:cs="Arial"/>
          <w:color w:val="002060"/>
          <w:sz w:val="20"/>
          <w:szCs w:val="20"/>
        </w:rPr>
        <w:t xml:space="preserve"> como inca y colonial, la misma que se expresa en riqueza arqueológica, artística, arquitectónica y étnica, tanto en la zona andina como en su parte selvática, cultura que subsiste hasta la fecha.</w:t>
      </w:r>
    </w:p>
    <w:p w14:paraId="6DAE64E9"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566229A4"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cuanto a diversidad étnica amazónica, la región de Huánuco cuenta con 20 CCNN, de las cuales 14 cuentan con titulación. En la provincia de Puerto Inca se concentran las poblaciones nativas originales de cuatro etnias (</w:t>
      </w:r>
      <w:proofErr w:type="spellStart"/>
      <w:r>
        <w:rPr>
          <w:rFonts w:ascii="Arial" w:eastAsia="Arial" w:hAnsi="Arial" w:cs="Arial"/>
          <w:color w:val="002060"/>
          <w:sz w:val="20"/>
          <w:szCs w:val="20"/>
        </w:rPr>
        <w:t>Yaneshas</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Ashánikas</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Cacataibo</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Cashibo</w:t>
      </w:r>
      <w:proofErr w:type="spellEnd"/>
      <w:r>
        <w:rPr>
          <w:rFonts w:ascii="Arial" w:eastAsia="Arial" w:hAnsi="Arial" w:cs="Arial"/>
          <w:color w:val="002060"/>
          <w:sz w:val="20"/>
          <w:szCs w:val="20"/>
        </w:rPr>
        <w:t>, Shipibos), las mismas que están integradas y asociadas a través de las federaciones (FENACOCA – FECONAPIA – FECONAYA – UNAY), quienes además se relacionan con descendientes de los migrantes austro alemanes. Esta mixtura poblacional y cultural, sumada a la diversidad de flora y fauna locales, ha impulsado un sistema patrimonial socio-ecológico.</w:t>
      </w:r>
    </w:p>
    <w:p w14:paraId="0EE4611B"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6A6E0B31"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El Gobierno Regional de Huánuco declaró de necesidad e interés regional el reconocimiento de la existencia de los pueblos originarios e indígenas en su jurisdicción</w:t>
      </w:r>
      <w:r>
        <w:rPr>
          <w:rFonts w:ascii="Calibri" w:eastAsia="Calibri" w:hAnsi="Calibri" w:cs="Calibri"/>
          <w:color w:val="002060"/>
          <w:sz w:val="18"/>
          <w:szCs w:val="18"/>
          <w:vertAlign w:val="superscript"/>
        </w:rPr>
        <w:footnoteReference w:id="35"/>
      </w:r>
      <w:r>
        <w:rPr>
          <w:rFonts w:ascii="Arial" w:eastAsia="Arial" w:hAnsi="Arial" w:cs="Arial"/>
          <w:color w:val="002060"/>
          <w:sz w:val="20"/>
          <w:szCs w:val="20"/>
        </w:rPr>
        <w:t>. Reconociendo que dentro de Huánuco habitan pueblos originarios e indígenas, que usan denominaciones como “pueblos indígenas”, “pueblos originarios”, “comunidades campesinas”, “comunidades nativas”, “rondas campesinas”, “pueblos ancestrales”, entre otras.</w:t>
      </w:r>
    </w:p>
    <w:p w14:paraId="1AB05475"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79A4D76E"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 Constitución de 1920, en su artículo 58, señala: “(…) La Nación reconoce la existencia legal de las comunidades de indígenas; la Constitución de 1993 menciona en su artículo 207 que 'las comunidades indígenas tienen existencia legal y personería jurídica'. En 1969, durante el gobierno de Juan Velasco Alvarado también fueron reconocidas</w:t>
      </w:r>
      <w:r>
        <w:rPr>
          <w:rFonts w:ascii="Calibri" w:eastAsia="Calibri" w:hAnsi="Calibri" w:cs="Calibri"/>
          <w:color w:val="002060"/>
          <w:sz w:val="18"/>
          <w:szCs w:val="18"/>
          <w:vertAlign w:val="superscript"/>
        </w:rPr>
        <w:t xml:space="preserve"> </w:t>
      </w:r>
      <w:r>
        <w:rPr>
          <w:rFonts w:ascii="Calibri" w:eastAsia="Calibri" w:hAnsi="Calibri" w:cs="Calibri"/>
          <w:color w:val="002060"/>
          <w:sz w:val="18"/>
          <w:szCs w:val="18"/>
          <w:vertAlign w:val="superscript"/>
        </w:rPr>
        <w:footnoteReference w:id="36"/>
      </w:r>
      <w:r>
        <w:rPr>
          <w:rFonts w:ascii="Arial" w:eastAsia="Arial" w:hAnsi="Arial" w:cs="Arial"/>
          <w:color w:val="002060"/>
          <w:sz w:val="20"/>
          <w:szCs w:val="20"/>
        </w:rPr>
        <w:t>.</w:t>
      </w:r>
    </w:p>
    <w:p w14:paraId="43E98960" w14:textId="77777777" w:rsidR="00B50826" w:rsidRDefault="00B50826">
      <w:pPr>
        <w:pBdr>
          <w:top w:val="nil"/>
          <w:left w:val="nil"/>
          <w:bottom w:val="nil"/>
          <w:right w:val="nil"/>
          <w:between w:val="nil"/>
        </w:pBdr>
        <w:ind w:left="1728" w:hanging="720"/>
        <w:rPr>
          <w:rFonts w:ascii="Arial" w:eastAsia="Arial" w:hAnsi="Arial" w:cs="Arial"/>
          <w:color w:val="002060"/>
          <w:sz w:val="20"/>
          <w:szCs w:val="20"/>
        </w:rPr>
      </w:pPr>
    </w:p>
    <w:p w14:paraId="71480FCC" w14:textId="77777777" w:rsidR="00B50826" w:rsidRDefault="00B50826">
      <w:pPr>
        <w:rPr>
          <w:rFonts w:ascii="Arial" w:eastAsia="Arial" w:hAnsi="Arial" w:cs="Arial"/>
          <w:b/>
          <w:color w:val="002060"/>
          <w:sz w:val="20"/>
          <w:szCs w:val="20"/>
        </w:rPr>
      </w:pPr>
    </w:p>
    <w:p w14:paraId="749302D6" w14:textId="77777777" w:rsidR="00B50826" w:rsidRDefault="00006AE2">
      <w:pPr>
        <w:numPr>
          <w:ilvl w:val="0"/>
          <w:numId w:val="14"/>
        </w:numPr>
        <w:pBdr>
          <w:top w:val="nil"/>
          <w:left w:val="nil"/>
          <w:bottom w:val="nil"/>
          <w:right w:val="nil"/>
          <w:between w:val="nil"/>
        </w:pBdr>
        <w:spacing w:after="240"/>
        <w:ind w:left="0" w:hanging="426"/>
        <w:rPr>
          <w:rFonts w:ascii="Arial" w:eastAsia="Arial" w:hAnsi="Arial" w:cs="Arial"/>
          <w:b/>
          <w:color w:val="002060"/>
          <w:sz w:val="20"/>
          <w:szCs w:val="20"/>
        </w:rPr>
      </w:pPr>
      <w:r>
        <w:rPr>
          <w:rFonts w:ascii="Arial" w:eastAsia="Arial" w:hAnsi="Arial" w:cs="Arial"/>
          <w:b/>
          <w:color w:val="002060"/>
          <w:sz w:val="20"/>
          <w:szCs w:val="20"/>
        </w:rPr>
        <w:t>Ambiental.</w:t>
      </w:r>
    </w:p>
    <w:p w14:paraId="46E0C42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Esta región presenta dos ambientes naturales bien diferenciados, la zona andina y la zona amazónica; cuenta además con tres cuencas hidrográficas: Cuenca del Marañón que se origina en el nevado de </w:t>
      </w:r>
      <w:proofErr w:type="spellStart"/>
      <w:r>
        <w:rPr>
          <w:rFonts w:ascii="Arial" w:eastAsia="Arial" w:hAnsi="Arial" w:cs="Arial"/>
          <w:color w:val="002060"/>
          <w:sz w:val="20"/>
          <w:szCs w:val="20"/>
        </w:rPr>
        <w:t>Yerupajá</w:t>
      </w:r>
      <w:proofErr w:type="spellEnd"/>
      <w:r>
        <w:rPr>
          <w:rFonts w:ascii="Arial" w:eastAsia="Arial" w:hAnsi="Arial" w:cs="Arial"/>
          <w:color w:val="002060"/>
          <w:sz w:val="20"/>
          <w:szCs w:val="20"/>
        </w:rPr>
        <w:t xml:space="preserve"> a 5,800 msnm, está conformada por veintisiete (27) ríos y ciento noventa y siete (197) lagunas; la cuenca del Huallaga está ubicada en la parte central del departamento, generándose en el departamento de Pasco y tiene como principal elemento al Río Huallaga, que llega a ser el afluente de mayor importancia; y por ultimo tenemos a la cuenca del Pachitea que se ubica en la parte oriental del departamento, comprendido por la provincia de Puerto Inca, está conformada por veintisiete (27) ríos y algunas lagunas, cinco (5) de ellas de significativo tamaño.</w:t>
      </w:r>
    </w:p>
    <w:p w14:paraId="37D1E21D"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09DC3321" w14:textId="77777777" w:rsidR="00B50826" w:rsidRDefault="00006AE2">
      <w:pPr>
        <w:jc w:val="both"/>
        <w:rPr>
          <w:rFonts w:ascii="Arial" w:eastAsia="Arial" w:hAnsi="Arial" w:cs="Arial"/>
          <w:color w:val="002060"/>
          <w:sz w:val="20"/>
          <w:szCs w:val="20"/>
        </w:rPr>
      </w:pPr>
      <w:bookmarkStart w:id="6" w:name="_heading=h.tyjcwt" w:colFirst="0" w:colLast="0"/>
      <w:bookmarkEnd w:id="6"/>
      <w:r>
        <w:rPr>
          <w:rFonts w:ascii="Arial" w:eastAsia="Arial" w:hAnsi="Arial" w:cs="Arial"/>
          <w:color w:val="002060"/>
          <w:sz w:val="20"/>
          <w:szCs w:val="20"/>
        </w:rPr>
        <w:t>Según el estudio Zonificación Económica y Ecológica – ZEE, el mismo que incluye cinco provincias: Huánuco, Leoncio Prado, Marañón, Pachitea y Puerto Inca, los suelos de estas provincias presentan aptitud mayoritaria para la producción forestal (35%) y clasificación como áreas de conservación (21%) y en menor proporción para la siembra de cultivos en limpio (15%), cultivo permanente (18%) y pastos (11%).</w:t>
      </w:r>
    </w:p>
    <w:p w14:paraId="5FA21C21" w14:textId="77777777" w:rsidR="00B50826" w:rsidRDefault="00B50826">
      <w:pPr>
        <w:jc w:val="both"/>
        <w:rPr>
          <w:rFonts w:ascii="Arial" w:eastAsia="Arial" w:hAnsi="Arial" w:cs="Arial"/>
          <w:color w:val="002060"/>
          <w:sz w:val="20"/>
          <w:szCs w:val="20"/>
        </w:rPr>
      </w:pPr>
      <w:bookmarkStart w:id="7" w:name="_heading=h.3dy6vkm" w:colFirst="0" w:colLast="0"/>
      <w:bookmarkEnd w:id="7"/>
    </w:p>
    <w:p w14:paraId="691DFF18" w14:textId="77777777" w:rsidR="00B50826" w:rsidRDefault="00006AE2">
      <w:pPr>
        <w:jc w:val="both"/>
        <w:rPr>
          <w:rFonts w:ascii="Arial" w:eastAsia="Arial" w:hAnsi="Arial" w:cs="Arial"/>
          <w:b/>
          <w:color w:val="002060"/>
          <w:sz w:val="20"/>
          <w:szCs w:val="20"/>
          <w:u w:val="single"/>
        </w:rPr>
      </w:pPr>
      <w:r>
        <w:rPr>
          <w:rFonts w:ascii="Arial" w:eastAsia="Arial" w:hAnsi="Arial" w:cs="Arial"/>
          <w:b/>
          <w:color w:val="002060"/>
          <w:sz w:val="20"/>
          <w:szCs w:val="20"/>
          <w:u w:val="single"/>
        </w:rPr>
        <w:lastRenderedPageBreak/>
        <w:t>Diversidad Biológica, Recursos Genéticos y Bioseguridad.</w:t>
      </w:r>
    </w:p>
    <w:p w14:paraId="3ED02525"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Esta región concentra gran diversidad biológica en sus ecosistemas andinos y amazónicos de reconocida importancia en el contexto nacional. Su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presenta una alta diversidad de ecosistemas, diversidad genética y cultural.</w:t>
      </w:r>
    </w:p>
    <w:p w14:paraId="522DC5B8"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bookmarkStart w:id="8" w:name="_heading=h.4d34og8" w:colFirst="0" w:colLast="0"/>
      <w:bookmarkEnd w:id="8"/>
    </w:p>
    <w:p w14:paraId="41071669" w14:textId="77777777" w:rsidR="00B50826" w:rsidRDefault="00006AE2">
      <w:pPr>
        <w:numPr>
          <w:ilvl w:val="0"/>
          <w:numId w:val="13"/>
        </w:numPr>
        <w:pBdr>
          <w:top w:val="nil"/>
          <w:left w:val="nil"/>
          <w:bottom w:val="nil"/>
          <w:right w:val="nil"/>
          <w:between w:val="nil"/>
        </w:pBdr>
        <w:ind w:left="0" w:hanging="284"/>
        <w:jc w:val="both"/>
        <w:rPr>
          <w:rFonts w:ascii="Arial" w:eastAsia="Arial" w:hAnsi="Arial" w:cs="Arial"/>
          <w:b/>
          <w:color w:val="002060"/>
          <w:sz w:val="20"/>
          <w:szCs w:val="20"/>
        </w:rPr>
      </w:pPr>
      <w:r>
        <w:rPr>
          <w:rFonts w:ascii="Arial" w:eastAsia="Arial" w:hAnsi="Arial" w:cs="Arial"/>
          <w:b/>
          <w:color w:val="002060"/>
          <w:sz w:val="20"/>
          <w:szCs w:val="20"/>
        </w:rPr>
        <w:t>Flora</w:t>
      </w:r>
    </w:p>
    <w:p w14:paraId="47F38992"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 flora es muy variada debido a la diversidad de ecosistemas que posee, en el estudio ZEE</w:t>
      </w:r>
      <w:r>
        <w:rPr>
          <w:rFonts w:ascii="Calibri" w:eastAsia="Calibri" w:hAnsi="Calibri" w:cs="Calibri"/>
          <w:color w:val="002060"/>
          <w:sz w:val="18"/>
          <w:szCs w:val="18"/>
          <w:vertAlign w:val="superscript"/>
        </w:rPr>
        <w:footnoteReference w:id="37"/>
      </w:r>
      <w:r>
        <w:rPr>
          <w:rFonts w:ascii="Arial" w:eastAsia="Arial" w:hAnsi="Arial" w:cs="Arial"/>
          <w:color w:val="002060"/>
          <w:sz w:val="20"/>
          <w:szCs w:val="20"/>
        </w:rPr>
        <w:t xml:space="preserve"> se reportaron 4.496 especies de flora, encontrándose en los bosques sub montanos, bosques basales, entre otros.</w:t>
      </w:r>
    </w:p>
    <w:p w14:paraId="64F16E31"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1D1D4AEF" w14:textId="77777777" w:rsidR="00B50826" w:rsidRDefault="00006AE2">
      <w:pPr>
        <w:numPr>
          <w:ilvl w:val="0"/>
          <w:numId w:val="13"/>
        </w:numPr>
        <w:pBdr>
          <w:top w:val="nil"/>
          <w:left w:val="nil"/>
          <w:bottom w:val="nil"/>
          <w:right w:val="nil"/>
          <w:between w:val="nil"/>
        </w:pBdr>
        <w:ind w:left="0" w:hanging="284"/>
        <w:jc w:val="both"/>
        <w:rPr>
          <w:rFonts w:ascii="Arial" w:eastAsia="Arial" w:hAnsi="Arial" w:cs="Arial"/>
          <w:b/>
          <w:color w:val="002060"/>
          <w:sz w:val="20"/>
          <w:szCs w:val="20"/>
        </w:rPr>
      </w:pPr>
      <w:bookmarkStart w:id="9" w:name="_heading=h.2s8eyo1" w:colFirst="0" w:colLast="0"/>
      <w:bookmarkEnd w:id="9"/>
      <w:r>
        <w:rPr>
          <w:rFonts w:ascii="Arial" w:eastAsia="Arial" w:hAnsi="Arial" w:cs="Arial"/>
          <w:b/>
          <w:color w:val="002060"/>
          <w:sz w:val="20"/>
          <w:szCs w:val="20"/>
        </w:rPr>
        <w:t>Fauna</w:t>
      </w:r>
    </w:p>
    <w:p w14:paraId="07D0735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 fauna también es muy variada debido a la diversidad de ecosistemas que posee, en el ZEE se registraron 1.474 especies entre aves, reptiles, mamíferos y anfibios, tal como se muestra en la tabla.</w:t>
      </w:r>
    </w:p>
    <w:p w14:paraId="62E59324"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1C4AB14F" w14:textId="77777777" w:rsidR="00B50826" w:rsidRDefault="00B50826">
      <w:pPr>
        <w:pBdr>
          <w:top w:val="nil"/>
          <w:left w:val="nil"/>
          <w:bottom w:val="nil"/>
          <w:right w:val="nil"/>
          <w:between w:val="nil"/>
        </w:pBdr>
        <w:ind w:left="1728" w:hanging="720"/>
        <w:rPr>
          <w:rFonts w:ascii="Arial" w:eastAsia="Arial" w:hAnsi="Arial" w:cs="Arial"/>
          <w:color w:val="002060"/>
          <w:sz w:val="20"/>
          <w:szCs w:val="20"/>
        </w:rPr>
      </w:pPr>
      <w:bookmarkStart w:id="10" w:name="_heading=h.17dp8vu" w:colFirst="0" w:colLast="0"/>
      <w:bookmarkEnd w:id="10"/>
    </w:p>
    <w:p w14:paraId="7880E662" w14:textId="77777777" w:rsidR="00B50826" w:rsidRDefault="00006AE2">
      <w:pPr>
        <w:pBdr>
          <w:top w:val="nil"/>
          <w:left w:val="nil"/>
          <w:bottom w:val="nil"/>
          <w:right w:val="nil"/>
          <w:between w:val="nil"/>
        </w:pBdr>
        <w:ind w:left="1728" w:hanging="720"/>
        <w:rPr>
          <w:rFonts w:ascii="Arial" w:eastAsia="Arial" w:hAnsi="Arial" w:cs="Arial"/>
          <w:b/>
          <w:i/>
          <w:color w:val="002060"/>
          <w:sz w:val="20"/>
          <w:szCs w:val="20"/>
        </w:rPr>
      </w:pPr>
      <w:r>
        <w:rPr>
          <w:rFonts w:ascii="Arial" w:eastAsia="Arial" w:hAnsi="Arial" w:cs="Arial"/>
          <w:b/>
          <w:i/>
          <w:color w:val="002060"/>
          <w:sz w:val="20"/>
          <w:szCs w:val="20"/>
        </w:rPr>
        <w:t>Tabla N° 15: Fauna Reportada de la Región Huánuco</w:t>
      </w:r>
    </w:p>
    <w:p w14:paraId="041330C5"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noProof/>
        </w:rPr>
        <w:drawing>
          <wp:inline distT="0" distB="0" distL="0" distR="0" wp14:anchorId="6AB9AFA4" wp14:editId="70941B64">
            <wp:extent cx="2880995" cy="1106805"/>
            <wp:effectExtent l="0" t="0" r="0" b="0"/>
            <wp:docPr id="24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2881198" cy="1107174"/>
                    </a:xfrm>
                    <a:prstGeom prst="rect">
                      <a:avLst/>
                    </a:prstGeom>
                    <a:ln/>
                  </pic:spPr>
                </pic:pic>
              </a:graphicData>
            </a:graphic>
          </wp:inline>
        </w:drawing>
      </w:r>
    </w:p>
    <w:p w14:paraId="6F42B015" w14:textId="77777777" w:rsidR="00B50826" w:rsidRDefault="00006AE2">
      <w:pPr>
        <w:ind w:left="1416" w:firstLine="707"/>
        <w:jc w:val="both"/>
        <w:rPr>
          <w:rFonts w:ascii="Arial" w:eastAsia="Arial" w:hAnsi="Arial" w:cs="Arial"/>
          <w:color w:val="002060"/>
          <w:sz w:val="20"/>
          <w:szCs w:val="20"/>
        </w:rPr>
      </w:pPr>
      <w:r>
        <w:rPr>
          <w:rFonts w:ascii="Arial" w:eastAsia="Arial" w:hAnsi="Arial" w:cs="Arial"/>
          <w:color w:val="002060"/>
          <w:sz w:val="20"/>
          <w:szCs w:val="20"/>
        </w:rPr>
        <w:t>Fuente: Región Huánuco (s.d.).</w:t>
      </w:r>
    </w:p>
    <w:p w14:paraId="6C6A1082" w14:textId="77777777" w:rsidR="00B50826" w:rsidRDefault="00B50826">
      <w:pPr>
        <w:jc w:val="both"/>
        <w:rPr>
          <w:rFonts w:ascii="Arial" w:eastAsia="Arial" w:hAnsi="Arial" w:cs="Arial"/>
          <w:color w:val="002060"/>
          <w:sz w:val="20"/>
          <w:szCs w:val="20"/>
          <w:u w:val="single"/>
        </w:rPr>
      </w:pPr>
      <w:bookmarkStart w:id="11" w:name="_heading=h.3rdcrjn" w:colFirst="0" w:colLast="0"/>
      <w:bookmarkEnd w:id="11"/>
    </w:p>
    <w:p w14:paraId="3C08473C" w14:textId="77777777" w:rsidR="00B50826" w:rsidRDefault="00B50826">
      <w:pPr>
        <w:jc w:val="both"/>
        <w:rPr>
          <w:rFonts w:ascii="Arial" w:eastAsia="Arial" w:hAnsi="Arial" w:cs="Arial"/>
          <w:color w:val="002060"/>
          <w:sz w:val="20"/>
          <w:szCs w:val="20"/>
          <w:u w:val="single"/>
        </w:rPr>
      </w:pPr>
    </w:p>
    <w:p w14:paraId="24A193F4" w14:textId="77777777" w:rsidR="00B50826" w:rsidRDefault="00006AE2">
      <w:pPr>
        <w:jc w:val="both"/>
        <w:rPr>
          <w:rFonts w:ascii="Arial" w:eastAsia="Arial" w:hAnsi="Arial" w:cs="Arial"/>
          <w:b/>
          <w:color w:val="002060"/>
          <w:sz w:val="20"/>
          <w:szCs w:val="20"/>
          <w:u w:val="single"/>
        </w:rPr>
      </w:pPr>
      <w:r>
        <w:rPr>
          <w:rFonts w:ascii="Arial" w:eastAsia="Arial" w:hAnsi="Arial" w:cs="Arial"/>
          <w:b/>
          <w:color w:val="002060"/>
          <w:sz w:val="20"/>
          <w:szCs w:val="20"/>
          <w:u w:val="single"/>
        </w:rPr>
        <w:t>Endemismo.</w:t>
      </w:r>
    </w:p>
    <w:p w14:paraId="65B5B23C"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Una de las zonas de mayor endemismo en la región Huánuco es Carpish, un lugar de importancia biológica, porque posee una composición faunística y florística de alta singularidad, en este lugar se han hallado 78 especies de flora endémicas para el Perú, 30 de ellas son endémicas de esta localidad; el 01 de enero del 2020 se ha creado en esta zona, el ACR Carpish</w:t>
      </w:r>
      <w:r>
        <w:rPr>
          <w:rFonts w:ascii="Calibri" w:eastAsia="Calibri" w:hAnsi="Calibri" w:cs="Calibri"/>
          <w:color w:val="002060"/>
          <w:sz w:val="18"/>
          <w:szCs w:val="18"/>
          <w:vertAlign w:val="superscript"/>
        </w:rPr>
        <w:footnoteReference w:id="38"/>
      </w:r>
      <w:r>
        <w:rPr>
          <w:rFonts w:ascii="Arial" w:eastAsia="Arial" w:hAnsi="Arial" w:cs="Arial"/>
          <w:color w:val="002060"/>
          <w:sz w:val="20"/>
          <w:szCs w:val="20"/>
        </w:rPr>
        <w:t xml:space="preserve">. </w:t>
      </w:r>
    </w:p>
    <w:p w14:paraId="0683834A" w14:textId="77777777" w:rsidR="00B50826" w:rsidRDefault="00B50826">
      <w:pPr>
        <w:jc w:val="both"/>
        <w:rPr>
          <w:rFonts w:ascii="Arial" w:eastAsia="Arial" w:hAnsi="Arial" w:cs="Arial"/>
          <w:color w:val="002060"/>
          <w:sz w:val="20"/>
          <w:szCs w:val="20"/>
        </w:rPr>
      </w:pPr>
    </w:p>
    <w:p w14:paraId="7E50590A" w14:textId="77777777" w:rsidR="00B50826" w:rsidRDefault="00B50826">
      <w:pPr>
        <w:jc w:val="both"/>
        <w:rPr>
          <w:rFonts w:ascii="Arial" w:eastAsia="Arial" w:hAnsi="Arial" w:cs="Arial"/>
          <w:color w:val="002060"/>
          <w:sz w:val="20"/>
          <w:szCs w:val="20"/>
        </w:rPr>
      </w:pPr>
    </w:p>
    <w:p w14:paraId="6B74C672" w14:textId="77777777" w:rsidR="00B50826" w:rsidRDefault="00006AE2">
      <w:pPr>
        <w:pBdr>
          <w:top w:val="nil"/>
          <w:left w:val="nil"/>
          <w:bottom w:val="nil"/>
          <w:right w:val="nil"/>
          <w:between w:val="nil"/>
        </w:pBdr>
        <w:ind w:left="1728" w:hanging="720"/>
        <w:rPr>
          <w:rFonts w:ascii="Arial" w:eastAsia="Arial" w:hAnsi="Arial" w:cs="Arial"/>
          <w:b/>
          <w:i/>
          <w:color w:val="002060"/>
          <w:sz w:val="20"/>
          <w:szCs w:val="20"/>
        </w:rPr>
      </w:pPr>
      <w:bookmarkStart w:id="12" w:name="_heading=h.26in1rg" w:colFirst="0" w:colLast="0"/>
      <w:bookmarkEnd w:id="12"/>
      <w:r>
        <w:rPr>
          <w:rFonts w:ascii="Arial" w:eastAsia="Arial" w:hAnsi="Arial" w:cs="Arial"/>
          <w:b/>
          <w:i/>
          <w:color w:val="002060"/>
          <w:sz w:val="20"/>
          <w:szCs w:val="20"/>
        </w:rPr>
        <w:t>Tabla N° 16: Flora Endémica Reportada en la Región Huánuco.</w:t>
      </w:r>
    </w:p>
    <w:p w14:paraId="79EE0051" w14:textId="77777777" w:rsidR="00B50826" w:rsidRDefault="00006AE2">
      <w:pPr>
        <w:pBdr>
          <w:top w:val="nil"/>
          <w:left w:val="nil"/>
          <w:bottom w:val="nil"/>
          <w:right w:val="nil"/>
          <w:between w:val="nil"/>
        </w:pBdr>
        <w:ind w:left="1728" w:hanging="720"/>
        <w:jc w:val="center"/>
        <w:rPr>
          <w:rFonts w:ascii="Arial" w:eastAsia="Arial" w:hAnsi="Arial" w:cs="Arial"/>
          <w:color w:val="002060"/>
          <w:sz w:val="20"/>
          <w:szCs w:val="20"/>
        </w:rPr>
      </w:pPr>
      <w:r>
        <w:rPr>
          <w:noProof/>
        </w:rPr>
        <w:drawing>
          <wp:anchor distT="0" distB="0" distL="114300" distR="114300" simplePos="0" relativeHeight="251658240" behindDoc="0" locked="0" layoutInCell="1" hidden="0" allowOverlap="1" wp14:anchorId="7CEBABFB" wp14:editId="7831C8AC">
            <wp:simplePos x="0" y="0"/>
            <wp:positionH relativeFrom="column">
              <wp:posOffset>1405890</wp:posOffset>
            </wp:positionH>
            <wp:positionV relativeFrom="paragraph">
              <wp:posOffset>115570</wp:posOffset>
            </wp:positionV>
            <wp:extent cx="2878455" cy="1294765"/>
            <wp:effectExtent l="0" t="0" r="0" b="0"/>
            <wp:wrapSquare wrapText="bothSides" distT="0" distB="0" distL="114300" distR="114300"/>
            <wp:docPr id="2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2878882" cy="1294791"/>
                    </a:xfrm>
                    <a:prstGeom prst="rect">
                      <a:avLst/>
                    </a:prstGeom>
                    <a:ln/>
                  </pic:spPr>
                </pic:pic>
              </a:graphicData>
            </a:graphic>
          </wp:anchor>
        </w:drawing>
      </w:r>
    </w:p>
    <w:p w14:paraId="3A8F1BD6" w14:textId="77777777" w:rsidR="00B50826" w:rsidRDefault="00B50826">
      <w:pPr>
        <w:pBdr>
          <w:top w:val="nil"/>
          <w:left w:val="nil"/>
          <w:bottom w:val="nil"/>
          <w:right w:val="nil"/>
          <w:between w:val="nil"/>
        </w:pBdr>
        <w:ind w:left="1728" w:hanging="720"/>
        <w:jc w:val="center"/>
        <w:rPr>
          <w:rFonts w:ascii="Arial" w:eastAsia="Arial" w:hAnsi="Arial" w:cs="Arial"/>
          <w:color w:val="002060"/>
          <w:sz w:val="20"/>
          <w:szCs w:val="20"/>
        </w:rPr>
      </w:pPr>
    </w:p>
    <w:p w14:paraId="1F2BB6B0" w14:textId="77777777" w:rsidR="00B50826" w:rsidRDefault="00B50826">
      <w:pPr>
        <w:ind w:left="2124" w:firstLine="707"/>
        <w:jc w:val="both"/>
        <w:rPr>
          <w:rFonts w:ascii="Arial" w:eastAsia="Arial" w:hAnsi="Arial" w:cs="Arial"/>
          <w:color w:val="002060"/>
          <w:sz w:val="20"/>
          <w:szCs w:val="20"/>
        </w:rPr>
      </w:pPr>
    </w:p>
    <w:p w14:paraId="6B0C3E86" w14:textId="77777777" w:rsidR="00B50826" w:rsidRDefault="00B50826">
      <w:pPr>
        <w:ind w:left="2124" w:firstLine="707"/>
        <w:jc w:val="both"/>
        <w:rPr>
          <w:rFonts w:ascii="Arial" w:eastAsia="Arial" w:hAnsi="Arial" w:cs="Arial"/>
          <w:color w:val="002060"/>
          <w:sz w:val="20"/>
          <w:szCs w:val="20"/>
        </w:rPr>
      </w:pPr>
    </w:p>
    <w:p w14:paraId="4FC78A8C" w14:textId="77777777" w:rsidR="00B50826" w:rsidRDefault="00B50826">
      <w:pPr>
        <w:ind w:left="2124" w:firstLine="707"/>
        <w:jc w:val="both"/>
        <w:rPr>
          <w:rFonts w:ascii="Arial" w:eastAsia="Arial" w:hAnsi="Arial" w:cs="Arial"/>
          <w:color w:val="002060"/>
          <w:sz w:val="20"/>
          <w:szCs w:val="20"/>
        </w:rPr>
      </w:pPr>
    </w:p>
    <w:p w14:paraId="351AFE0B" w14:textId="77777777" w:rsidR="00B50826" w:rsidRDefault="00B50826">
      <w:pPr>
        <w:ind w:left="2124" w:firstLine="707"/>
        <w:jc w:val="both"/>
        <w:rPr>
          <w:rFonts w:ascii="Arial" w:eastAsia="Arial" w:hAnsi="Arial" w:cs="Arial"/>
          <w:color w:val="002060"/>
          <w:sz w:val="20"/>
          <w:szCs w:val="20"/>
        </w:rPr>
      </w:pPr>
    </w:p>
    <w:p w14:paraId="6790B606" w14:textId="77777777" w:rsidR="00B50826" w:rsidRDefault="00B50826">
      <w:pPr>
        <w:ind w:left="2124" w:firstLine="707"/>
        <w:jc w:val="both"/>
        <w:rPr>
          <w:rFonts w:ascii="Arial" w:eastAsia="Arial" w:hAnsi="Arial" w:cs="Arial"/>
          <w:color w:val="002060"/>
          <w:sz w:val="20"/>
          <w:szCs w:val="20"/>
        </w:rPr>
      </w:pPr>
    </w:p>
    <w:p w14:paraId="35A3EFB4" w14:textId="77777777" w:rsidR="00B50826" w:rsidRDefault="00B50826">
      <w:pPr>
        <w:ind w:left="2124" w:firstLine="707"/>
        <w:jc w:val="both"/>
        <w:rPr>
          <w:rFonts w:ascii="Arial" w:eastAsia="Arial" w:hAnsi="Arial" w:cs="Arial"/>
          <w:color w:val="002060"/>
          <w:sz w:val="20"/>
          <w:szCs w:val="20"/>
        </w:rPr>
      </w:pPr>
    </w:p>
    <w:p w14:paraId="6D2F98F7" w14:textId="77777777" w:rsidR="00B50826" w:rsidRDefault="00B50826">
      <w:pPr>
        <w:ind w:left="2124" w:firstLine="707"/>
        <w:jc w:val="both"/>
        <w:rPr>
          <w:rFonts w:ascii="Arial" w:eastAsia="Arial" w:hAnsi="Arial" w:cs="Arial"/>
          <w:color w:val="002060"/>
          <w:sz w:val="20"/>
          <w:szCs w:val="20"/>
        </w:rPr>
      </w:pPr>
    </w:p>
    <w:p w14:paraId="560C2DFF" w14:textId="77777777" w:rsidR="00B50826" w:rsidRDefault="00B50826">
      <w:pPr>
        <w:ind w:left="2124" w:firstLine="707"/>
        <w:jc w:val="both"/>
        <w:rPr>
          <w:rFonts w:ascii="Arial" w:eastAsia="Arial" w:hAnsi="Arial" w:cs="Arial"/>
          <w:color w:val="002060"/>
          <w:sz w:val="20"/>
          <w:szCs w:val="20"/>
        </w:rPr>
      </w:pPr>
    </w:p>
    <w:p w14:paraId="2C4D69A1" w14:textId="77777777" w:rsidR="00B50826" w:rsidRDefault="00006AE2">
      <w:pPr>
        <w:ind w:left="2124" w:firstLine="707"/>
        <w:jc w:val="both"/>
        <w:rPr>
          <w:rFonts w:ascii="Arial" w:eastAsia="Arial" w:hAnsi="Arial" w:cs="Arial"/>
          <w:color w:val="002060"/>
          <w:sz w:val="20"/>
          <w:szCs w:val="20"/>
        </w:rPr>
      </w:pPr>
      <w:r>
        <w:rPr>
          <w:rFonts w:ascii="Arial" w:eastAsia="Arial" w:hAnsi="Arial" w:cs="Arial"/>
          <w:color w:val="002060"/>
          <w:sz w:val="20"/>
          <w:szCs w:val="20"/>
        </w:rPr>
        <w:t>Fuente: Región Huánuco (s.d.).</w:t>
      </w:r>
    </w:p>
    <w:p w14:paraId="30D9FEBC"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360E4372" w14:textId="77777777" w:rsidR="00B50826" w:rsidRDefault="00B50826">
      <w:pPr>
        <w:jc w:val="both"/>
        <w:rPr>
          <w:rFonts w:ascii="Arial" w:eastAsia="Arial" w:hAnsi="Arial" w:cs="Arial"/>
          <w:color w:val="002060"/>
          <w:sz w:val="20"/>
          <w:szCs w:val="20"/>
          <w:u w:val="single"/>
        </w:rPr>
      </w:pPr>
      <w:bookmarkStart w:id="13" w:name="_heading=h.lnxbz9" w:colFirst="0" w:colLast="0"/>
      <w:bookmarkEnd w:id="13"/>
    </w:p>
    <w:p w14:paraId="5C3E3B63"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u w:val="single"/>
        </w:rPr>
        <w:t>Áreas Naturales Protegidas</w:t>
      </w:r>
      <w:r>
        <w:rPr>
          <w:rFonts w:ascii="Arial" w:eastAsia="Arial" w:hAnsi="Arial" w:cs="Arial"/>
          <w:b/>
          <w:color w:val="002060"/>
          <w:sz w:val="20"/>
          <w:szCs w:val="20"/>
        </w:rPr>
        <w:t>.</w:t>
      </w:r>
    </w:p>
    <w:p w14:paraId="5A79300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El estado peruano a través de diferentes procesos desde hace décadas ha establecido áreas para conservar muestras de la biodiversidad in situ: así, tenemos 02 parques nacionales, 01 zona reservada, 01 reserva comunal y 03 áreas de conservación privada.</w:t>
      </w:r>
    </w:p>
    <w:p w14:paraId="7634B8C3" w14:textId="77777777" w:rsidR="0070297C" w:rsidRDefault="0070297C">
      <w:pPr>
        <w:jc w:val="both"/>
        <w:rPr>
          <w:rFonts w:ascii="Arial" w:eastAsia="Arial" w:hAnsi="Arial" w:cs="Arial"/>
          <w:color w:val="002060"/>
          <w:sz w:val="20"/>
          <w:szCs w:val="20"/>
        </w:rPr>
      </w:pPr>
    </w:p>
    <w:p w14:paraId="5FA0F578"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3CF5D456" w14:textId="77777777" w:rsidR="00B50826" w:rsidRDefault="00006AE2">
      <w:pPr>
        <w:jc w:val="center"/>
        <w:rPr>
          <w:rFonts w:ascii="Arial" w:eastAsia="Arial" w:hAnsi="Arial" w:cs="Arial"/>
          <w:b/>
          <w:color w:val="002060"/>
          <w:sz w:val="20"/>
          <w:szCs w:val="20"/>
        </w:rPr>
      </w:pPr>
      <w:bookmarkStart w:id="14" w:name="_heading=h.35nkun2" w:colFirst="0" w:colLast="0"/>
      <w:bookmarkEnd w:id="14"/>
      <w:r>
        <w:rPr>
          <w:rFonts w:ascii="Arial" w:eastAsia="Arial" w:hAnsi="Arial" w:cs="Arial"/>
          <w:b/>
          <w:color w:val="002060"/>
          <w:sz w:val="20"/>
          <w:szCs w:val="20"/>
        </w:rPr>
        <w:t>Tabla N° 17: Áreas Naturales Protegidas en la Región Huánuco.</w:t>
      </w:r>
    </w:p>
    <w:p w14:paraId="3DDFB59E" w14:textId="77777777" w:rsidR="00BA759C" w:rsidRDefault="00BA759C">
      <w:pPr>
        <w:jc w:val="center"/>
        <w:rPr>
          <w:rFonts w:ascii="Arial" w:eastAsia="Arial" w:hAnsi="Arial" w:cs="Arial"/>
          <w:b/>
          <w:color w:val="002060"/>
          <w:sz w:val="20"/>
          <w:szCs w:val="20"/>
        </w:rPr>
      </w:pPr>
    </w:p>
    <w:tbl>
      <w:tblPr>
        <w:tblW w:w="8784" w:type="dxa"/>
        <w:tblCellMar>
          <w:left w:w="70" w:type="dxa"/>
          <w:right w:w="70" w:type="dxa"/>
        </w:tblCellMar>
        <w:tblLook w:val="04A0" w:firstRow="1" w:lastRow="0" w:firstColumn="1" w:lastColumn="0" w:noHBand="0" w:noVBand="1"/>
      </w:tblPr>
      <w:tblGrid>
        <w:gridCol w:w="1340"/>
        <w:gridCol w:w="1487"/>
        <w:gridCol w:w="1137"/>
        <w:gridCol w:w="1134"/>
        <w:gridCol w:w="1276"/>
        <w:gridCol w:w="2410"/>
      </w:tblGrid>
      <w:tr w:rsidR="00BA759C" w14:paraId="001032AC" w14:textId="77777777" w:rsidTr="00BA759C">
        <w:trPr>
          <w:trHeight w:val="750"/>
        </w:trPr>
        <w:tc>
          <w:tcPr>
            <w:tcW w:w="1340" w:type="dxa"/>
            <w:vMerge w:val="restart"/>
            <w:tcBorders>
              <w:top w:val="single" w:sz="4" w:space="0" w:color="auto"/>
              <w:left w:val="single" w:sz="4" w:space="0" w:color="auto"/>
              <w:bottom w:val="single" w:sz="4" w:space="0" w:color="auto"/>
              <w:right w:val="single" w:sz="4" w:space="0" w:color="auto"/>
            </w:tcBorders>
            <w:shd w:val="clear" w:color="000000" w:fill="A8D08D"/>
            <w:vAlign w:val="center"/>
            <w:hideMark/>
          </w:tcPr>
          <w:p w14:paraId="4A474816" w14:textId="77777777" w:rsidR="00BA759C" w:rsidRPr="00BA759C" w:rsidRDefault="00BA759C">
            <w:pPr>
              <w:jc w:val="center"/>
              <w:rPr>
                <w:rFonts w:ascii="Arial" w:hAnsi="Arial" w:cs="Arial"/>
                <w:b/>
                <w:bCs/>
                <w:color w:val="002060"/>
                <w:sz w:val="16"/>
                <w:szCs w:val="16"/>
              </w:rPr>
            </w:pPr>
            <w:r w:rsidRPr="00BA759C">
              <w:rPr>
                <w:rFonts w:ascii="Arial" w:hAnsi="Arial" w:cs="Arial"/>
                <w:b/>
                <w:bCs/>
                <w:color w:val="002060"/>
                <w:sz w:val="16"/>
                <w:szCs w:val="16"/>
              </w:rPr>
              <w:lastRenderedPageBreak/>
              <w:t>CATEGORÍA (Nombre)</w:t>
            </w:r>
          </w:p>
        </w:tc>
        <w:tc>
          <w:tcPr>
            <w:tcW w:w="1487" w:type="dxa"/>
            <w:vMerge w:val="restart"/>
            <w:tcBorders>
              <w:top w:val="single" w:sz="4" w:space="0" w:color="auto"/>
              <w:left w:val="single" w:sz="4" w:space="0" w:color="auto"/>
              <w:bottom w:val="single" w:sz="4" w:space="0" w:color="auto"/>
              <w:right w:val="single" w:sz="4" w:space="0" w:color="auto"/>
            </w:tcBorders>
            <w:shd w:val="clear" w:color="000000" w:fill="A8D08D"/>
            <w:vAlign w:val="center"/>
            <w:hideMark/>
          </w:tcPr>
          <w:p w14:paraId="2BA55E18" w14:textId="77777777" w:rsidR="00BA759C" w:rsidRPr="00BA759C" w:rsidRDefault="00BA759C">
            <w:pPr>
              <w:jc w:val="center"/>
              <w:rPr>
                <w:rFonts w:ascii="Arial" w:hAnsi="Arial" w:cs="Arial"/>
                <w:b/>
                <w:bCs/>
                <w:color w:val="002060"/>
                <w:sz w:val="16"/>
                <w:szCs w:val="16"/>
              </w:rPr>
            </w:pPr>
            <w:r w:rsidRPr="00BA759C">
              <w:rPr>
                <w:rFonts w:ascii="Arial" w:hAnsi="Arial" w:cs="Arial"/>
                <w:b/>
                <w:bCs/>
                <w:color w:val="002060"/>
                <w:sz w:val="16"/>
                <w:szCs w:val="16"/>
              </w:rPr>
              <w:t>Ubicación Geográfica</w:t>
            </w:r>
          </w:p>
        </w:tc>
        <w:tc>
          <w:tcPr>
            <w:tcW w:w="2271" w:type="dxa"/>
            <w:gridSpan w:val="2"/>
            <w:tcBorders>
              <w:top w:val="single" w:sz="4" w:space="0" w:color="auto"/>
              <w:left w:val="nil"/>
              <w:bottom w:val="single" w:sz="4" w:space="0" w:color="auto"/>
              <w:right w:val="single" w:sz="4" w:space="0" w:color="auto"/>
            </w:tcBorders>
            <w:shd w:val="clear" w:color="000000" w:fill="A8D08D"/>
            <w:vAlign w:val="center"/>
            <w:hideMark/>
          </w:tcPr>
          <w:p w14:paraId="021779FE" w14:textId="77777777" w:rsidR="00BA759C" w:rsidRPr="00BA759C" w:rsidRDefault="00BA759C">
            <w:pPr>
              <w:jc w:val="center"/>
              <w:rPr>
                <w:rFonts w:ascii="Arial" w:hAnsi="Arial" w:cs="Arial"/>
                <w:b/>
                <w:bCs/>
                <w:color w:val="002060"/>
                <w:sz w:val="16"/>
                <w:szCs w:val="16"/>
              </w:rPr>
            </w:pPr>
            <w:r w:rsidRPr="00BA759C">
              <w:rPr>
                <w:rFonts w:ascii="Arial" w:hAnsi="Arial" w:cs="Arial"/>
                <w:b/>
                <w:bCs/>
                <w:color w:val="002060"/>
                <w:sz w:val="16"/>
                <w:szCs w:val="16"/>
              </w:rPr>
              <w:t>ÁREA (Ha)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A8D08D"/>
            <w:vAlign w:val="center"/>
            <w:hideMark/>
          </w:tcPr>
          <w:p w14:paraId="59AFAC63" w14:textId="77777777" w:rsidR="00BA759C" w:rsidRPr="00BA759C" w:rsidRDefault="00BA759C">
            <w:pPr>
              <w:jc w:val="center"/>
              <w:rPr>
                <w:rFonts w:ascii="Arial" w:hAnsi="Arial" w:cs="Arial"/>
                <w:b/>
                <w:bCs/>
                <w:color w:val="002060"/>
                <w:sz w:val="16"/>
                <w:szCs w:val="16"/>
              </w:rPr>
            </w:pPr>
            <w:r w:rsidRPr="00BA759C">
              <w:rPr>
                <w:rFonts w:ascii="Arial" w:hAnsi="Arial" w:cs="Arial"/>
                <w:b/>
                <w:bCs/>
                <w:color w:val="002060"/>
                <w:sz w:val="16"/>
                <w:szCs w:val="16"/>
              </w:rPr>
              <w:t>Fecha y Norma Legal de creación</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A8D08D"/>
            <w:vAlign w:val="center"/>
            <w:hideMark/>
          </w:tcPr>
          <w:p w14:paraId="437524C3" w14:textId="77777777" w:rsidR="00BA759C" w:rsidRPr="00BA759C" w:rsidRDefault="00BA759C">
            <w:pPr>
              <w:jc w:val="center"/>
              <w:rPr>
                <w:rFonts w:ascii="Arial" w:hAnsi="Arial" w:cs="Arial"/>
                <w:b/>
                <w:bCs/>
                <w:color w:val="002060"/>
                <w:sz w:val="16"/>
                <w:szCs w:val="16"/>
              </w:rPr>
            </w:pPr>
            <w:r w:rsidRPr="00BA759C">
              <w:rPr>
                <w:rFonts w:ascii="Arial" w:hAnsi="Arial" w:cs="Arial"/>
                <w:b/>
                <w:bCs/>
                <w:color w:val="002060"/>
                <w:sz w:val="16"/>
                <w:szCs w:val="16"/>
              </w:rPr>
              <w:t>Objetivo (s)</w:t>
            </w:r>
          </w:p>
        </w:tc>
      </w:tr>
      <w:tr w:rsidR="00BA759C" w14:paraId="5079AE87" w14:textId="77777777" w:rsidTr="00BA759C">
        <w:trPr>
          <w:trHeight w:val="255"/>
        </w:trPr>
        <w:tc>
          <w:tcPr>
            <w:tcW w:w="1340" w:type="dxa"/>
            <w:vMerge/>
            <w:tcBorders>
              <w:top w:val="single" w:sz="4" w:space="0" w:color="auto"/>
              <w:left w:val="single" w:sz="4" w:space="0" w:color="auto"/>
              <w:bottom w:val="single" w:sz="4" w:space="0" w:color="auto"/>
              <w:right w:val="single" w:sz="4" w:space="0" w:color="auto"/>
            </w:tcBorders>
            <w:vAlign w:val="center"/>
            <w:hideMark/>
          </w:tcPr>
          <w:p w14:paraId="08749E32" w14:textId="77777777" w:rsidR="00BA759C" w:rsidRPr="00BA759C" w:rsidRDefault="00BA759C">
            <w:pPr>
              <w:rPr>
                <w:rFonts w:ascii="Arial" w:hAnsi="Arial" w:cs="Arial"/>
                <w:b/>
                <w:bCs/>
                <w:color w:val="002060"/>
                <w:sz w:val="16"/>
                <w:szCs w:val="16"/>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CE58FFF" w14:textId="77777777" w:rsidR="00BA759C" w:rsidRPr="00BA759C" w:rsidRDefault="00BA759C">
            <w:pPr>
              <w:rPr>
                <w:rFonts w:ascii="Arial" w:hAnsi="Arial" w:cs="Arial"/>
                <w:b/>
                <w:bCs/>
                <w:color w:val="002060"/>
                <w:sz w:val="16"/>
                <w:szCs w:val="16"/>
              </w:rPr>
            </w:pPr>
          </w:p>
        </w:tc>
        <w:tc>
          <w:tcPr>
            <w:tcW w:w="1137" w:type="dxa"/>
            <w:tcBorders>
              <w:top w:val="nil"/>
              <w:left w:val="nil"/>
              <w:bottom w:val="single" w:sz="4" w:space="0" w:color="auto"/>
              <w:right w:val="single" w:sz="4" w:space="0" w:color="auto"/>
            </w:tcBorders>
            <w:shd w:val="clear" w:color="000000" w:fill="A8D08D"/>
            <w:vAlign w:val="center"/>
            <w:hideMark/>
          </w:tcPr>
          <w:p w14:paraId="0DD21B1A" w14:textId="77777777" w:rsidR="00BA759C" w:rsidRPr="00BA759C" w:rsidRDefault="00BA759C">
            <w:pPr>
              <w:jc w:val="center"/>
              <w:rPr>
                <w:rFonts w:ascii="Arial" w:hAnsi="Arial" w:cs="Arial"/>
                <w:b/>
                <w:bCs/>
                <w:color w:val="002060"/>
                <w:sz w:val="16"/>
                <w:szCs w:val="16"/>
              </w:rPr>
            </w:pPr>
            <w:r w:rsidRPr="00BA759C">
              <w:rPr>
                <w:rFonts w:ascii="Arial" w:hAnsi="Arial" w:cs="Arial"/>
                <w:b/>
                <w:bCs/>
                <w:color w:val="002060"/>
                <w:sz w:val="16"/>
                <w:szCs w:val="16"/>
              </w:rPr>
              <w:t>Total</w:t>
            </w:r>
          </w:p>
        </w:tc>
        <w:tc>
          <w:tcPr>
            <w:tcW w:w="1134" w:type="dxa"/>
            <w:tcBorders>
              <w:top w:val="nil"/>
              <w:left w:val="nil"/>
              <w:bottom w:val="single" w:sz="4" w:space="0" w:color="auto"/>
              <w:right w:val="single" w:sz="4" w:space="0" w:color="auto"/>
            </w:tcBorders>
            <w:shd w:val="clear" w:color="000000" w:fill="A8D08D"/>
            <w:vAlign w:val="center"/>
            <w:hideMark/>
          </w:tcPr>
          <w:p w14:paraId="50666047" w14:textId="77777777" w:rsidR="00BA759C" w:rsidRPr="00BA759C" w:rsidRDefault="00BA759C">
            <w:pPr>
              <w:jc w:val="center"/>
              <w:rPr>
                <w:rFonts w:ascii="Arial" w:hAnsi="Arial" w:cs="Arial"/>
                <w:b/>
                <w:bCs/>
                <w:color w:val="002060"/>
                <w:sz w:val="16"/>
                <w:szCs w:val="16"/>
              </w:rPr>
            </w:pPr>
            <w:proofErr w:type="spellStart"/>
            <w:r w:rsidRPr="00BA759C">
              <w:rPr>
                <w:rFonts w:ascii="Arial" w:hAnsi="Arial" w:cs="Arial"/>
                <w:b/>
                <w:bCs/>
                <w:color w:val="002060"/>
                <w:sz w:val="16"/>
                <w:szCs w:val="16"/>
              </w:rPr>
              <w:t>Hco</w:t>
            </w:r>
            <w:proofErr w:type="spellEnd"/>
            <w:r w:rsidRPr="00BA759C">
              <w:rPr>
                <w:rFonts w:ascii="Arial" w:hAnsi="Arial" w:cs="Arial"/>
                <w:b/>
                <w:bCs/>
                <w:color w:val="002060"/>
                <w:sz w:val="16"/>
                <w:szCs w:val="16"/>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288679A" w14:textId="77777777" w:rsidR="00BA759C" w:rsidRPr="00BA759C" w:rsidRDefault="00BA759C">
            <w:pPr>
              <w:rPr>
                <w:rFonts w:ascii="Arial" w:hAnsi="Arial" w:cs="Arial"/>
                <w:b/>
                <w:bCs/>
                <w:color w:val="002060"/>
                <w:sz w:val="16"/>
                <w:szCs w:val="1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5FB3053" w14:textId="77777777" w:rsidR="00BA759C" w:rsidRPr="00BA759C" w:rsidRDefault="00BA759C">
            <w:pPr>
              <w:rPr>
                <w:rFonts w:ascii="Arial" w:hAnsi="Arial" w:cs="Arial"/>
                <w:b/>
                <w:bCs/>
                <w:color w:val="002060"/>
                <w:sz w:val="16"/>
                <w:szCs w:val="16"/>
              </w:rPr>
            </w:pPr>
          </w:p>
        </w:tc>
      </w:tr>
      <w:tr w:rsidR="00BA759C" w14:paraId="5D1C5151" w14:textId="77777777" w:rsidTr="00BA759C">
        <w:trPr>
          <w:trHeight w:val="102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672961BC"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Parque Nacional Tingo María</w:t>
            </w:r>
          </w:p>
        </w:tc>
        <w:tc>
          <w:tcPr>
            <w:tcW w:w="1487" w:type="dxa"/>
            <w:tcBorders>
              <w:top w:val="nil"/>
              <w:left w:val="nil"/>
              <w:bottom w:val="single" w:sz="4" w:space="0" w:color="auto"/>
              <w:right w:val="single" w:sz="4" w:space="0" w:color="auto"/>
            </w:tcBorders>
            <w:shd w:val="clear" w:color="auto" w:fill="auto"/>
            <w:vAlign w:val="center"/>
            <w:hideMark/>
          </w:tcPr>
          <w:p w14:paraId="39974A54"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Provincia Leoncio Prado, distrito Dámaso Beraún.</w:t>
            </w:r>
          </w:p>
        </w:tc>
        <w:tc>
          <w:tcPr>
            <w:tcW w:w="1137" w:type="dxa"/>
            <w:tcBorders>
              <w:top w:val="nil"/>
              <w:left w:val="nil"/>
              <w:bottom w:val="single" w:sz="4" w:space="0" w:color="auto"/>
              <w:right w:val="single" w:sz="4" w:space="0" w:color="auto"/>
            </w:tcBorders>
            <w:shd w:val="clear" w:color="auto" w:fill="auto"/>
            <w:vAlign w:val="center"/>
            <w:hideMark/>
          </w:tcPr>
          <w:p w14:paraId="7C0B5AF8"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4 777.80</w:t>
            </w:r>
          </w:p>
        </w:tc>
        <w:tc>
          <w:tcPr>
            <w:tcW w:w="1134" w:type="dxa"/>
            <w:tcBorders>
              <w:top w:val="nil"/>
              <w:left w:val="nil"/>
              <w:bottom w:val="single" w:sz="4" w:space="0" w:color="auto"/>
              <w:right w:val="single" w:sz="4" w:space="0" w:color="auto"/>
            </w:tcBorders>
            <w:shd w:val="clear" w:color="auto" w:fill="auto"/>
            <w:vAlign w:val="center"/>
            <w:hideMark/>
          </w:tcPr>
          <w:p w14:paraId="5AADCFDB"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4 777.80</w:t>
            </w:r>
          </w:p>
        </w:tc>
        <w:tc>
          <w:tcPr>
            <w:tcW w:w="1276" w:type="dxa"/>
            <w:tcBorders>
              <w:top w:val="nil"/>
              <w:left w:val="nil"/>
              <w:bottom w:val="single" w:sz="4" w:space="0" w:color="auto"/>
              <w:right w:val="single" w:sz="4" w:space="0" w:color="auto"/>
            </w:tcBorders>
            <w:shd w:val="clear" w:color="auto" w:fill="auto"/>
            <w:vAlign w:val="center"/>
            <w:hideMark/>
          </w:tcPr>
          <w:p w14:paraId="590BF6D3"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Ley N° 15574, del 14 de mayo de 1965.</w:t>
            </w:r>
          </w:p>
        </w:tc>
        <w:tc>
          <w:tcPr>
            <w:tcW w:w="2410" w:type="dxa"/>
            <w:tcBorders>
              <w:top w:val="nil"/>
              <w:left w:val="nil"/>
              <w:bottom w:val="single" w:sz="4" w:space="0" w:color="auto"/>
              <w:right w:val="single" w:sz="4" w:space="0" w:color="auto"/>
            </w:tcBorders>
            <w:shd w:val="clear" w:color="auto" w:fill="auto"/>
            <w:vAlign w:val="center"/>
            <w:hideMark/>
          </w:tcPr>
          <w:p w14:paraId="3B08D691"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Conservar las zonas naturales denominadas “La Bella Durmiente” y “La Cueva de las Lechuzas”, con sus bosques adyacentes y colonias de </w:t>
            </w:r>
            <w:proofErr w:type="spellStart"/>
            <w:r w:rsidRPr="00BA759C">
              <w:rPr>
                <w:rFonts w:ascii="Arial" w:hAnsi="Arial" w:cs="Arial"/>
                <w:i/>
                <w:iCs/>
                <w:color w:val="002060"/>
                <w:sz w:val="16"/>
                <w:szCs w:val="16"/>
              </w:rPr>
              <w:t>Steatornis</w:t>
            </w:r>
            <w:proofErr w:type="spellEnd"/>
            <w:r w:rsidRPr="00BA759C">
              <w:rPr>
                <w:rFonts w:ascii="Arial" w:hAnsi="Arial" w:cs="Arial"/>
                <w:i/>
                <w:iCs/>
                <w:color w:val="002060"/>
                <w:sz w:val="16"/>
                <w:szCs w:val="16"/>
              </w:rPr>
              <w:t xml:space="preserve"> </w:t>
            </w:r>
            <w:proofErr w:type="spellStart"/>
            <w:r w:rsidRPr="00BA759C">
              <w:rPr>
                <w:rFonts w:ascii="Arial" w:hAnsi="Arial" w:cs="Arial"/>
                <w:i/>
                <w:iCs/>
                <w:color w:val="002060"/>
                <w:sz w:val="16"/>
                <w:szCs w:val="16"/>
              </w:rPr>
              <w:t>caripensis</w:t>
            </w:r>
            <w:proofErr w:type="spellEnd"/>
            <w:r w:rsidRPr="00BA759C">
              <w:rPr>
                <w:rFonts w:ascii="Arial" w:hAnsi="Arial" w:cs="Arial"/>
                <w:color w:val="002060"/>
                <w:sz w:val="16"/>
                <w:szCs w:val="16"/>
              </w:rPr>
              <w:t>.</w:t>
            </w:r>
          </w:p>
        </w:tc>
      </w:tr>
      <w:tr w:rsidR="00BA759C" w14:paraId="6FBEDF89" w14:textId="77777777" w:rsidTr="00BA759C">
        <w:trPr>
          <w:trHeight w:val="1785"/>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26865B2"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Parque Nacional Cordillera Azul</w:t>
            </w:r>
          </w:p>
        </w:tc>
        <w:tc>
          <w:tcPr>
            <w:tcW w:w="1487" w:type="dxa"/>
            <w:tcBorders>
              <w:top w:val="nil"/>
              <w:left w:val="nil"/>
              <w:bottom w:val="single" w:sz="4" w:space="0" w:color="auto"/>
              <w:right w:val="single" w:sz="4" w:space="0" w:color="auto"/>
            </w:tcBorders>
            <w:shd w:val="clear" w:color="auto" w:fill="auto"/>
            <w:vAlign w:val="center"/>
            <w:hideMark/>
          </w:tcPr>
          <w:p w14:paraId="1A122C44"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Dptos. San Martín, Loreto, Ucayali, Huánuco (prov. Leoncio Prado)</w:t>
            </w:r>
          </w:p>
        </w:tc>
        <w:tc>
          <w:tcPr>
            <w:tcW w:w="1137" w:type="dxa"/>
            <w:tcBorders>
              <w:top w:val="nil"/>
              <w:left w:val="nil"/>
              <w:bottom w:val="single" w:sz="4" w:space="0" w:color="auto"/>
              <w:right w:val="single" w:sz="4" w:space="0" w:color="auto"/>
            </w:tcBorders>
            <w:shd w:val="clear" w:color="auto" w:fill="auto"/>
            <w:vAlign w:val="center"/>
            <w:hideMark/>
          </w:tcPr>
          <w:p w14:paraId="4638F4EF"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1 353 190.85</w:t>
            </w:r>
          </w:p>
        </w:tc>
        <w:tc>
          <w:tcPr>
            <w:tcW w:w="1134" w:type="dxa"/>
            <w:tcBorders>
              <w:top w:val="nil"/>
              <w:left w:val="nil"/>
              <w:bottom w:val="single" w:sz="4" w:space="0" w:color="auto"/>
              <w:right w:val="single" w:sz="4" w:space="0" w:color="auto"/>
            </w:tcBorders>
            <w:shd w:val="clear" w:color="auto" w:fill="auto"/>
            <w:vAlign w:val="center"/>
            <w:hideMark/>
          </w:tcPr>
          <w:p w14:paraId="12195290"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78,961.44</w:t>
            </w:r>
          </w:p>
        </w:tc>
        <w:tc>
          <w:tcPr>
            <w:tcW w:w="1276" w:type="dxa"/>
            <w:tcBorders>
              <w:top w:val="nil"/>
              <w:left w:val="nil"/>
              <w:bottom w:val="single" w:sz="4" w:space="0" w:color="auto"/>
              <w:right w:val="single" w:sz="4" w:space="0" w:color="auto"/>
            </w:tcBorders>
            <w:shd w:val="clear" w:color="auto" w:fill="auto"/>
            <w:vAlign w:val="center"/>
            <w:hideMark/>
          </w:tcPr>
          <w:p w14:paraId="70811AB4"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D.S. N° 031-2001-AG, del 21 de mayo del 2001.</w:t>
            </w:r>
          </w:p>
        </w:tc>
        <w:tc>
          <w:tcPr>
            <w:tcW w:w="2410" w:type="dxa"/>
            <w:tcBorders>
              <w:top w:val="nil"/>
              <w:left w:val="nil"/>
              <w:bottom w:val="single" w:sz="4" w:space="0" w:color="auto"/>
              <w:right w:val="single" w:sz="4" w:space="0" w:color="auto"/>
            </w:tcBorders>
            <w:shd w:val="clear" w:color="auto" w:fill="auto"/>
            <w:vAlign w:val="center"/>
            <w:hideMark/>
          </w:tcPr>
          <w:p w14:paraId="23EA54AB"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Proteger una serie única de especies, comunidades biológicas y formaciones geológicas, propias de los bosques montanos y premontanos del complejo de la Cordillera Azul, así como cabeceras intactas y cuencas; y apoyar al desarrollo de un manejo integrado y equilibrado de los recursos naturales de las zonas adyacentes.</w:t>
            </w:r>
          </w:p>
        </w:tc>
      </w:tr>
      <w:tr w:rsidR="00BA759C" w14:paraId="51BC0DF4" w14:textId="77777777" w:rsidTr="00BA759C">
        <w:trPr>
          <w:trHeight w:val="1275"/>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08928C8D"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Reserva Comunal El Sira</w:t>
            </w:r>
          </w:p>
        </w:tc>
        <w:tc>
          <w:tcPr>
            <w:tcW w:w="1487" w:type="dxa"/>
            <w:tcBorders>
              <w:top w:val="nil"/>
              <w:left w:val="nil"/>
              <w:bottom w:val="single" w:sz="4" w:space="0" w:color="auto"/>
              <w:right w:val="single" w:sz="4" w:space="0" w:color="auto"/>
            </w:tcBorders>
            <w:shd w:val="clear" w:color="auto" w:fill="auto"/>
            <w:vAlign w:val="center"/>
            <w:hideMark/>
          </w:tcPr>
          <w:p w14:paraId="7926A169"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Dptos. Pasco, Ucayali, Huánuco (prov. Puerto Inca (distritos de Puerto Inca, Tournavista, Yuyapichis y Honoria)</w:t>
            </w:r>
          </w:p>
        </w:tc>
        <w:tc>
          <w:tcPr>
            <w:tcW w:w="1137" w:type="dxa"/>
            <w:tcBorders>
              <w:top w:val="nil"/>
              <w:left w:val="nil"/>
              <w:bottom w:val="single" w:sz="4" w:space="0" w:color="auto"/>
              <w:right w:val="single" w:sz="4" w:space="0" w:color="auto"/>
            </w:tcBorders>
            <w:shd w:val="clear" w:color="auto" w:fill="auto"/>
            <w:vAlign w:val="center"/>
            <w:hideMark/>
          </w:tcPr>
          <w:p w14:paraId="5A0B2F15"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616 413.41</w:t>
            </w:r>
          </w:p>
        </w:tc>
        <w:tc>
          <w:tcPr>
            <w:tcW w:w="1134" w:type="dxa"/>
            <w:tcBorders>
              <w:top w:val="nil"/>
              <w:left w:val="nil"/>
              <w:bottom w:val="single" w:sz="4" w:space="0" w:color="auto"/>
              <w:right w:val="single" w:sz="4" w:space="0" w:color="auto"/>
            </w:tcBorders>
            <w:shd w:val="clear" w:color="auto" w:fill="auto"/>
            <w:vAlign w:val="center"/>
            <w:hideMark/>
          </w:tcPr>
          <w:p w14:paraId="7A1A0EDE"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57,356.28</w:t>
            </w:r>
          </w:p>
        </w:tc>
        <w:tc>
          <w:tcPr>
            <w:tcW w:w="1276" w:type="dxa"/>
            <w:tcBorders>
              <w:top w:val="nil"/>
              <w:left w:val="nil"/>
              <w:bottom w:val="single" w:sz="4" w:space="0" w:color="auto"/>
              <w:right w:val="single" w:sz="4" w:space="0" w:color="auto"/>
            </w:tcBorders>
            <w:shd w:val="clear" w:color="auto" w:fill="auto"/>
            <w:vAlign w:val="center"/>
            <w:hideMark/>
          </w:tcPr>
          <w:p w14:paraId="54B95D79"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D.S. N° 037-2001-AG, del 22 de junio del 2001.</w:t>
            </w:r>
          </w:p>
        </w:tc>
        <w:tc>
          <w:tcPr>
            <w:tcW w:w="2410" w:type="dxa"/>
            <w:tcBorders>
              <w:top w:val="nil"/>
              <w:left w:val="nil"/>
              <w:bottom w:val="single" w:sz="4" w:space="0" w:color="auto"/>
              <w:right w:val="single" w:sz="4" w:space="0" w:color="auto"/>
            </w:tcBorders>
            <w:shd w:val="clear" w:color="auto" w:fill="auto"/>
            <w:vAlign w:val="center"/>
            <w:hideMark/>
          </w:tcPr>
          <w:p w14:paraId="6643CA7D"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Conservación de la diversidad biológica, en beneficio de las comunidades nativas pertenecientes a los grupos étnicos </w:t>
            </w:r>
            <w:proofErr w:type="spellStart"/>
            <w:r w:rsidRPr="00BA759C">
              <w:rPr>
                <w:rFonts w:ascii="Arial" w:hAnsi="Arial" w:cs="Arial"/>
                <w:color w:val="002060"/>
                <w:sz w:val="16"/>
                <w:szCs w:val="16"/>
              </w:rPr>
              <w:t>asháninka</w:t>
            </w:r>
            <w:proofErr w:type="spellEnd"/>
            <w:r w:rsidRPr="00BA759C">
              <w:rPr>
                <w:rFonts w:ascii="Arial" w:hAnsi="Arial" w:cs="Arial"/>
                <w:color w:val="002060"/>
                <w:sz w:val="16"/>
                <w:szCs w:val="16"/>
              </w:rPr>
              <w:t xml:space="preserve">, </w:t>
            </w:r>
            <w:proofErr w:type="spellStart"/>
            <w:r w:rsidRPr="00BA759C">
              <w:rPr>
                <w:rFonts w:ascii="Arial" w:hAnsi="Arial" w:cs="Arial"/>
                <w:color w:val="002060"/>
                <w:sz w:val="16"/>
                <w:szCs w:val="16"/>
              </w:rPr>
              <w:t>Yanesha</w:t>
            </w:r>
            <w:proofErr w:type="spellEnd"/>
            <w:r w:rsidRPr="00BA759C">
              <w:rPr>
                <w:rFonts w:ascii="Arial" w:hAnsi="Arial" w:cs="Arial"/>
                <w:color w:val="002060"/>
                <w:sz w:val="16"/>
                <w:szCs w:val="16"/>
              </w:rPr>
              <w:t xml:space="preserve"> y shipibo-</w:t>
            </w:r>
            <w:proofErr w:type="spellStart"/>
            <w:r w:rsidRPr="00BA759C">
              <w:rPr>
                <w:rFonts w:ascii="Arial" w:hAnsi="Arial" w:cs="Arial"/>
                <w:color w:val="002060"/>
                <w:sz w:val="16"/>
                <w:szCs w:val="16"/>
              </w:rPr>
              <w:t>Conibo</w:t>
            </w:r>
            <w:proofErr w:type="spellEnd"/>
            <w:r w:rsidRPr="00BA759C">
              <w:rPr>
                <w:rFonts w:ascii="Arial" w:hAnsi="Arial" w:cs="Arial"/>
                <w:color w:val="002060"/>
                <w:sz w:val="16"/>
                <w:szCs w:val="16"/>
              </w:rPr>
              <w:t xml:space="preserve"> vecinos a dicha Área Natural Protegida,</w:t>
            </w:r>
          </w:p>
        </w:tc>
      </w:tr>
      <w:tr w:rsidR="00BA759C" w14:paraId="23C2B524" w14:textId="77777777" w:rsidTr="00BA759C">
        <w:trPr>
          <w:trHeight w:val="1530"/>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36701CBD"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ACP </w:t>
            </w:r>
            <w:proofErr w:type="spellStart"/>
            <w:r w:rsidRPr="00BA759C">
              <w:rPr>
                <w:rFonts w:ascii="Arial" w:hAnsi="Arial" w:cs="Arial"/>
                <w:color w:val="002060"/>
                <w:sz w:val="16"/>
                <w:szCs w:val="16"/>
              </w:rPr>
              <w:t>Jirishanca</w:t>
            </w:r>
            <w:proofErr w:type="spellEnd"/>
          </w:p>
        </w:tc>
        <w:tc>
          <w:tcPr>
            <w:tcW w:w="1487" w:type="dxa"/>
            <w:tcBorders>
              <w:top w:val="nil"/>
              <w:left w:val="nil"/>
              <w:bottom w:val="single" w:sz="4" w:space="0" w:color="auto"/>
              <w:right w:val="single" w:sz="4" w:space="0" w:color="auto"/>
            </w:tcBorders>
            <w:shd w:val="clear" w:color="auto" w:fill="auto"/>
            <w:vAlign w:val="center"/>
            <w:hideMark/>
          </w:tcPr>
          <w:p w14:paraId="060B4300"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Departamento de Huánuco, provincia de Lauricocha, distrito de </w:t>
            </w:r>
            <w:proofErr w:type="spellStart"/>
            <w:r w:rsidRPr="00BA759C">
              <w:rPr>
                <w:rFonts w:ascii="Arial" w:hAnsi="Arial" w:cs="Arial"/>
                <w:color w:val="002060"/>
                <w:sz w:val="16"/>
                <w:szCs w:val="16"/>
              </w:rPr>
              <w:t>Queropalca</w:t>
            </w:r>
            <w:proofErr w:type="spellEnd"/>
            <w:r w:rsidRPr="00BA759C">
              <w:rPr>
                <w:rFonts w:ascii="Arial" w:hAnsi="Arial" w:cs="Arial"/>
                <w:color w:val="002060"/>
                <w:sz w:val="16"/>
                <w:szCs w:val="16"/>
              </w:rPr>
              <w:t xml:space="preserve">, Comunidad Campesina de </w:t>
            </w:r>
            <w:proofErr w:type="spellStart"/>
            <w:r w:rsidRPr="00BA759C">
              <w:rPr>
                <w:rFonts w:ascii="Arial" w:hAnsi="Arial" w:cs="Arial"/>
                <w:color w:val="002060"/>
                <w:sz w:val="16"/>
                <w:szCs w:val="16"/>
              </w:rPr>
              <w:t>Queropalca</w:t>
            </w:r>
            <w:proofErr w:type="spellEnd"/>
          </w:p>
        </w:tc>
        <w:tc>
          <w:tcPr>
            <w:tcW w:w="1137" w:type="dxa"/>
            <w:tcBorders>
              <w:top w:val="nil"/>
              <w:left w:val="nil"/>
              <w:bottom w:val="single" w:sz="4" w:space="0" w:color="auto"/>
              <w:right w:val="single" w:sz="4" w:space="0" w:color="auto"/>
            </w:tcBorders>
            <w:shd w:val="clear" w:color="auto" w:fill="auto"/>
            <w:vAlign w:val="center"/>
            <w:hideMark/>
          </w:tcPr>
          <w:p w14:paraId="7915FD49"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12 172.91</w:t>
            </w:r>
          </w:p>
        </w:tc>
        <w:tc>
          <w:tcPr>
            <w:tcW w:w="1134" w:type="dxa"/>
            <w:tcBorders>
              <w:top w:val="nil"/>
              <w:left w:val="nil"/>
              <w:bottom w:val="single" w:sz="4" w:space="0" w:color="auto"/>
              <w:right w:val="single" w:sz="4" w:space="0" w:color="auto"/>
            </w:tcBorders>
            <w:shd w:val="clear" w:color="auto" w:fill="auto"/>
            <w:vAlign w:val="center"/>
            <w:hideMark/>
          </w:tcPr>
          <w:p w14:paraId="5BA2D2C1"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12 172.91</w:t>
            </w:r>
          </w:p>
        </w:tc>
        <w:tc>
          <w:tcPr>
            <w:tcW w:w="1276" w:type="dxa"/>
            <w:tcBorders>
              <w:top w:val="nil"/>
              <w:left w:val="nil"/>
              <w:bottom w:val="single" w:sz="4" w:space="0" w:color="auto"/>
              <w:right w:val="single" w:sz="4" w:space="0" w:color="auto"/>
            </w:tcBorders>
            <w:shd w:val="clear" w:color="000000" w:fill="FFFFFF"/>
            <w:vAlign w:val="center"/>
            <w:hideMark/>
          </w:tcPr>
          <w:p w14:paraId="107C0C0F"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R.M. 346/2007-AG del 24.04.07</w:t>
            </w:r>
          </w:p>
        </w:tc>
        <w:tc>
          <w:tcPr>
            <w:tcW w:w="2410" w:type="dxa"/>
            <w:tcBorders>
              <w:top w:val="nil"/>
              <w:left w:val="nil"/>
              <w:bottom w:val="single" w:sz="4" w:space="0" w:color="auto"/>
              <w:right w:val="single" w:sz="4" w:space="0" w:color="auto"/>
            </w:tcBorders>
            <w:shd w:val="clear" w:color="auto" w:fill="auto"/>
            <w:vAlign w:val="center"/>
            <w:hideMark/>
          </w:tcPr>
          <w:p w14:paraId="01E75C0B"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Conservar el recurso paisaje, la flora y fauna silvestre con fines de desarrollo económico y cultural de la población.</w:t>
            </w:r>
          </w:p>
        </w:tc>
      </w:tr>
      <w:tr w:rsidR="00BA759C" w14:paraId="7931B14F" w14:textId="77777777" w:rsidTr="00BA759C">
        <w:trPr>
          <w:trHeight w:val="2295"/>
        </w:trPr>
        <w:tc>
          <w:tcPr>
            <w:tcW w:w="1340" w:type="dxa"/>
            <w:tcBorders>
              <w:top w:val="nil"/>
              <w:left w:val="single" w:sz="4" w:space="0" w:color="auto"/>
              <w:bottom w:val="single" w:sz="4" w:space="0" w:color="auto"/>
              <w:right w:val="single" w:sz="4" w:space="0" w:color="auto"/>
            </w:tcBorders>
            <w:shd w:val="clear" w:color="000000" w:fill="FFFFFF"/>
            <w:vAlign w:val="center"/>
            <w:hideMark/>
          </w:tcPr>
          <w:p w14:paraId="7FABE0D2"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ACP San Marcos</w:t>
            </w:r>
          </w:p>
        </w:tc>
        <w:tc>
          <w:tcPr>
            <w:tcW w:w="1487" w:type="dxa"/>
            <w:tcBorders>
              <w:top w:val="nil"/>
              <w:left w:val="nil"/>
              <w:bottom w:val="single" w:sz="4" w:space="0" w:color="auto"/>
              <w:right w:val="single" w:sz="4" w:space="0" w:color="auto"/>
            </w:tcBorders>
            <w:shd w:val="clear" w:color="000000" w:fill="FFFFFF"/>
            <w:vAlign w:val="center"/>
            <w:hideMark/>
          </w:tcPr>
          <w:p w14:paraId="7FDCD8B6"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Departamento de Huánuco, provincia de Pachitea, distrito de </w:t>
            </w:r>
            <w:proofErr w:type="spellStart"/>
            <w:r w:rsidRPr="00BA759C">
              <w:rPr>
                <w:rFonts w:ascii="Arial" w:hAnsi="Arial" w:cs="Arial"/>
                <w:color w:val="002060"/>
                <w:sz w:val="16"/>
                <w:szCs w:val="16"/>
              </w:rPr>
              <w:t>Umari</w:t>
            </w:r>
            <w:proofErr w:type="spellEnd"/>
          </w:p>
        </w:tc>
        <w:tc>
          <w:tcPr>
            <w:tcW w:w="1137" w:type="dxa"/>
            <w:tcBorders>
              <w:top w:val="nil"/>
              <w:left w:val="nil"/>
              <w:bottom w:val="single" w:sz="4" w:space="0" w:color="auto"/>
              <w:right w:val="single" w:sz="4" w:space="0" w:color="auto"/>
            </w:tcBorders>
            <w:shd w:val="clear" w:color="000000" w:fill="FFFFFF"/>
            <w:vAlign w:val="center"/>
            <w:hideMark/>
          </w:tcPr>
          <w:p w14:paraId="5672CB35"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985.99</w:t>
            </w:r>
          </w:p>
        </w:tc>
        <w:tc>
          <w:tcPr>
            <w:tcW w:w="1134" w:type="dxa"/>
            <w:tcBorders>
              <w:top w:val="nil"/>
              <w:left w:val="nil"/>
              <w:bottom w:val="single" w:sz="4" w:space="0" w:color="auto"/>
              <w:right w:val="single" w:sz="4" w:space="0" w:color="auto"/>
            </w:tcBorders>
            <w:shd w:val="clear" w:color="000000" w:fill="FFFFFF"/>
            <w:vAlign w:val="center"/>
            <w:hideMark/>
          </w:tcPr>
          <w:p w14:paraId="0CEA8B4C"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985.99</w:t>
            </w:r>
          </w:p>
        </w:tc>
        <w:tc>
          <w:tcPr>
            <w:tcW w:w="1276" w:type="dxa"/>
            <w:tcBorders>
              <w:top w:val="nil"/>
              <w:left w:val="nil"/>
              <w:bottom w:val="single" w:sz="4" w:space="0" w:color="auto"/>
              <w:right w:val="single" w:sz="4" w:space="0" w:color="auto"/>
            </w:tcBorders>
            <w:shd w:val="clear" w:color="000000" w:fill="FFFFFF"/>
            <w:vAlign w:val="center"/>
            <w:hideMark/>
          </w:tcPr>
          <w:p w14:paraId="1CEE8A53"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R. M. Nº 133-2011-MINAM del 16.06.2011</w:t>
            </w:r>
          </w:p>
        </w:tc>
        <w:tc>
          <w:tcPr>
            <w:tcW w:w="2410" w:type="dxa"/>
            <w:tcBorders>
              <w:top w:val="nil"/>
              <w:left w:val="nil"/>
              <w:bottom w:val="single" w:sz="4" w:space="0" w:color="auto"/>
              <w:right w:val="single" w:sz="4" w:space="0" w:color="auto"/>
            </w:tcBorders>
            <w:shd w:val="clear" w:color="000000" w:fill="FFFFFF"/>
            <w:vAlign w:val="center"/>
            <w:hideMark/>
          </w:tcPr>
          <w:p w14:paraId="063D4FF9"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Proteger las cabeceras de cuenca, de la Comunidad Campesina de San Marcos, como su laguna </w:t>
            </w:r>
            <w:proofErr w:type="spellStart"/>
            <w:r w:rsidRPr="00BA759C">
              <w:rPr>
                <w:rFonts w:ascii="Arial" w:hAnsi="Arial" w:cs="Arial"/>
                <w:color w:val="002060"/>
                <w:sz w:val="16"/>
                <w:szCs w:val="16"/>
              </w:rPr>
              <w:t>Pailapozo</w:t>
            </w:r>
            <w:proofErr w:type="spellEnd"/>
            <w:r w:rsidRPr="00BA759C">
              <w:rPr>
                <w:rFonts w:ascii="Arial" w:hAnsi="Arial" w:cs="Arial"/>
                <w:color w:val="002060"/>
                <w:sz w:val="16"/>
                <w:szCs w:val="16"/>
              </w:rPr>
              <w:t xml:space="preserve"> por ser una de las fuentes de abastecimiento de agua más importantes para el consumo humano y agropecuario de este extenso valle del distrito de </w:t>
            </w:r>
            <w:proofErr w:type="spellStart"/>
            <w:r w:rsidRPr="00BA759C">
              <w:rPr>
                <w:rFonts w:ascii="Arial" w:hAnsi="Arial" w:cs="Arial"/>
                <w:color w:val="002060"/>
                <w:sz w:val="16"/>
                <w:szCs w:val="16"/>
              </w:rPr>
              <w:t>Umari</w:t>
            </w:r>
            <w:proofErr w:type="spellEnd"/>
            <w:r w:rsidRPr="00BA759C">
              <w:rPr>
                <w:rFonts w:ascii="Arial" w:hAnsi="Arial" w:cs="Arial"/>
                <w:color w:val="002060"/>
                <w:sz w:val="16"/>
                <w:szCs w:val="16"/>
              </w:rPr>
              <w:t xml:space="preserve"> y de sus vecinos; así mismo el proteger los suelos, la vida silvestre y los escenarios paisajísticos y culturales de esta zona.</w:t>
            </w:r>
          </w:p>
        </w:tc>
      </w:tr>
      <w:tr w:rsidR="00BA759C" w14:paraId="5DA88B35" w14:textId="77777777" w:rsidTr="00BA759C">
        <w:trPr>
          <w:trHeight w:val="765"/>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026C2A33"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ACP </w:t>
            </w:r>
            <w:proofErr w:type="spellStart"/>
            <w:r w:rsidRPr="00BA759C">
              <w:rPr>
                <w:rFonts w:ascii="Arial" w:hAnsi="Arial" w:cs="Arial"/>
                <w:color w:val="002060"/>
                <w:sz w:val="16"/>
                <w:szCs w:val="16"/>
              </w:rPr>
              <w:t>Panguana</w:t>
            </w:r>
            <w:proofErr w:type="spellEnd"/>
          </w:p>
        </w:tc>
        <w:tc>
          <w:tcPr>
            <w:tcW w:w="1487" w:type="dxa"/>
            <w:tcBorders>
              <w:top w:val="nil"/>
              <w:left w:val="nil"/>
              <w:bottom w:val="single" w:sz="4" w:space="0" w:color="auto"/>
              <w:right w:val="single" w:sz="4" w:space="0" w:color="auto"/>
            </w:tcBorders>
            <w:shd w:val="clear" w:color="auto" w:fill="auto"/>
            <w:vAlign w:val="center"/>
            <w:hideMark/>
          </w:tcPr>
          <w:p w14:paraId="0A9B9BCE" w14:textId="77777777" w:rsidR="00BA759C" w:rsidRPr="00BA759C" w:rsidRDefault="00BA759C">
            <w:pPr>
              <w:rPr>
                <w:rFonts w:ascii="Arial" w:hAnsi="Arial" w:cs="Arial"/>
                <w:color w:val="002060"/>
                <w:sz w:val="16"/>
                <w:szCs w:val="16"/>
              </w:rPr>
            </w:pPr>
            <w:proofErr w:type="spellStart"/>
            <w:r w:rsidRPr="00BA759C">
              <w:rPr>
                <w:rFonts w:ascii="Arial" w:hAnsi="Arial" w:cs="Arial"/>
                <w:color w:val="002060"/>
                <w:sz w:val="16"/>
                <w:szCs w:val="16"/>
              </w:rPr>
              <w:t>Dep</w:t>
            </w:r>
            <w:proofErr w:type="spellEnd"/>
            <w:r w:rsidRPr="00BA759C">
              <w:rPr>
                <w:rFonts w:ascii="Arial" w:hAnsi="Arial" w:cs="Arial"/>
                <w:color w:val="002060"/>
                <w:sz w:val="16"/>
                <w:szCs w:val="16"/>
              </w:rPr>
              <w:t xml:space="preserve">. Huánuco, Prov.  Puerto Inca, </w:t>
            </w:r>
            <w:proofErr w:type="spellStart"/>
            <w:r w:rsidRPr="00BA759C">
              <w:rPr>
                <w:rFonts w:ascii="Arial" w:hAnsi="Arial" w:cs="Arial"/>
                <w:color w:val="002060"/>
                <w:sz w:val="16"/>
                <w:szCs w:val="16"/>
              </w:rPr>
              <w:t>Dist</w:t>
            </w:r>
            <w:proofErr w:type="spellEnd"/>
            <w:r w:rsidRPr="00BA759C">
              <w:rPr>
                <w:rFonts w:ascii="Arial" w:hAnsi="Arial" w:cs="Arial"/>
                <w:color w:val="002060"/>
                <w:sz w:val="16"/>
                <w:szCs w:val="16"/>
              </w:rPr>
              <w:t xml:space="preserve">. Yuyapichis </w:t>
            </w:r>
          </w:p>
        </w:tc>
        <w:tc>
          <w:tcPr>
            <w:tcW w:w="1137" w:type="dxa"/>
            <w:tcBorders>
              <w:top w:val="nil"/>
              <w:left w:val="nil"/>
              <w:bottom w:val="single" w:sz="4" w:space="0" w:color="auto"/>
              <w:right w:val="single" w:sz="4" w:space="0" w:color="auto"/>
            </w:tcBorders>
            <w:shd w:val="clear" w:color="auto" w:fill="auto"/>
            <w:vAlign w:val="center"/>
            <w:hideMark/>
          </w:tcPr>
          <w:p w14:paraId="0EB4E6F0"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135.6</w:t>
            </w:r>
          </w:p>
        </w:tc>
        <w:tc>
          <w:tcPr>
            <w:tcW w:w="1134" w:type="dxa"/>
            <w:tcBorders>
              <w:top w:val="nil"/>
              <w:left w:val="nil"/>
              <w:bottom w:val="single" w:sz="4" w:space="0" w:color="auto"/>
              <w:right w:val="single" w:sz="4" w:space="0" w:color="auto"/>
            </w:tcBorders>
            <w:shd w:val="clear" w:color="auto" w:fill="auto"/>
            <w:vAlign w:val="center"/>
            <w:hideMark/>
          </w:tcPr>
          <w:p w14:paraId="4D0C3907"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135.6</w:t>
            </w:r>
          </w:p>
        </w:tc>
        <w:tc>
          <w:tcPr>
            <w:tcW w:w="1276" w:type="dxa"/>
            <w:tcBorders>
              <w:top w:val="nil"/>
              <w:left w:val="nil"/>
              <w:bottom w:val="single" w:sz="4" w:space="0" w:color="auto"/>
              <w:right w:val="single" w:sz="4" w:space="0" w:color="auto"/>
            </w:tcBorders>
            <w:shd w:val="clear" w:color="auto" w:fill="auto"/>
            <w:vAlign w:val="center"/>
            <w:hideMark/>
          </w:tcPr>
          <w:p w14:paraId="68F4A6CE"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R.M. Nº 300-2011-MINAM del 22.12.2011</w:t>
            </w:r>
          </w:p>
        </w:tc>
        <w:tc>
          <w:tcPr>
            <w:tcW w:w="2410" w:type="dxa"/>
            <w:tcBorders>
              <w:top w:val="nil"/>
              <w:left w:val="nil"/>
              <w:bottom w:val="single" w:sz="4" w:space="0" w:color="auto"/>
              <w:right w:val="single" w:sz="4" w:space="0" w:color="auto"/>
            </w:tcBorders>
            <w:shd w:val="clear" w:color="auto" w:fill="auto"/>
            <w:vAlign w:val="center"/>
            <w:hideMark/>
          </w:tcPr>
          <w:p w14:paraId="0CB02C84"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Conservar la biodiversidad en el área de </w:t>
            </w:r>
            <w:proofErr w:type="spellStart"/>
            <w:r w:rsidRPr="00BA759C">
              <w:rPr>
                <w:rFonts w:ascii="Arial" w:hAnsi="Arial" w:cs="Arial"/>
                <w:color w:val="002060"/>
                <w:sz w:val="16"/>
                <w:szCs w:val="16"/>
              </w:rPr>
              <w:t>Panguana</w:t>
            </w:r>
            <w:proofErr w:type="spellEnd"/>
            <w:r w:rsidRPr="00BA759C">
              <w:rPr>
                <w:rFonts w:ascii="Arial" w:hAnsi="Arial" w:cs="Arial"/>
                <w:color w:val="002060"/>
                <w:sz w:val="16"/>
                <w:szCs w:val="16"/>
              </w:rPr>
              <w:t>, es decir, proteger su fauna y flora silvestre y el ecosistema de bosque pluvial primario de la zona.</w:t>
            </w:r>
          </w:p>
        </w:tc>
      </w:tr>
      <w:tr w:rsidR="00BA759C" w14:paraId="42C73F21" w14:textId="77777777" w:rsidTr="00BA759C">
        <w:trPr>
          <w:trHeight w:val="2505"/>
        </w:trPr>
        <w:tc>
          <w:tcPr>
            <w:tcW w:w="1340" w:type="dxa"/>
            <w:tcBorders>
              <w:top w:val="nil"/>
              <w:left w:val="single" w:sz="4" w:space="0" w:color="auto"/>
              <w:bottom w:val="single" w:sz="4" w:space="0" w:color="auto"/>
              <w:right w:val="single" w:sz="4" w:space="0" w:color="auto"/>
            </w:tcBorders>
            <w:shd w:val="clear" w:color="000000" w:fill="FFFFFF"/>
            <w:vAlign w:val="center"/>
            <w:hideMark/>
          </w:tcPr>
          <w:p w14:paraId="25F1667E"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ACR</w:t>
            </w:r>
            <w:r w:rsidRPr="00BA759C">
              <w:rPr>
                <w:rFonts w:ascii="Arial" w:hAnsi="Arial" w:cs="Arial"/>
                <w:color w:val="002060"/>
                <w:sz w:val="16"/>
                <w:szCs w:val="16"/>
              </w:rPr>
              <w:br/>
              <w:t>Carpish</w:t>
            </w:r>
          </w:p>
        </w:tc>
        <w:tc>
          <w:tcPr>
            <w:tcW w:w="1487" w:type="dxa"/>
            <w:tcBorders>
              <w:top w:val="nil"/>
              <w:left w:val="nil"/>
              <w:bottom w:val="single" w:sz="4" w:space="0" w:color="auto"/>
              <w:right w:val="single" w:sz="4" w:space="0" w:color="auto"/>
            </w:tcBorders>
            <w:shd w:val="clear" w:color="000000" w:fill="FFFFFF"/>
            <w:vAlign w:val="center"/>
            <w:hideMark/>
          </w:tcPr>
          <w:p w14:paraId="38F5BB60"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Prov. Huánuco</w:t>
            </w:r>
            <w:r w:rsidRPr="00BA759C">
              <w:rPr>
                <w:rFonts w:ascii="Arial" w:hAnsi="Arial" w:cs="Arial"/>
                <w:color w:val="002060"/>
                <w:sz w:val="16"/>
                <w:szCs w:val="16"/>
              </w:rPr>
              <w:br/>
            </w:r>
            <w:proofErr w:type="spellStart"/>
            <w:r w:rsidRPr="00BA759C">
              <w:rPr>
                <w:rFonts w:ascii="Arial" w:hAnsi="Arial" w:cs="Arial"/>
                <w:color w:val="002060"/>
                <w:sz w:val="16"/>
                <w:szCs w:val="16"/>
              </w:rPr>
              <w:t>Dist</w:t>
            </w:r>
            <w:proofErr w:type="spellEnd"/>
            <w:r w:rsidRPr="00BA759C">
              <w:rPr>
                <w:rFonts w:ascii="Arial" w:hAnsi="Arial" w:cs="Arial"/>
                <w:color w:val="002060"/>
                <w:sz w:val="16"/>
                <w:szCs w:val="16"/>
              </w:rPr>
              <w:t xml:space="preserve">. </w:t>
            </w:r>
            <w:r w:rsidRPr="00BA759C">
              <w:rPr>
                <w:rFonts w:ascii="Arial" w:hAnsi="Arial" w:cs="Arial"/>
                <w:color w:val="002060"/>
                <w:sz w:val="16"/>
                <w:szCs w:val="16"/>
              </w:rPr>
              <w:br/>
            </w:r>
            <w:proofErr w:type="spellStart"/>
            <w:r w:rsidRPr="00BA759C">
              <w:rPr>
                <w:rFonts w:ascii="Arial" w:hAnsi="Arial" w:cs="Arial"/>
                <w:color w:val="002060"/>
                <w:sz w:val="16"/>
                <w:szCs w:val="16"/>
              </w:rPr>
              <w:t>Chinchao</w:t>
            </w:r>
            <w:proofErr w:type="spellEnd"/>
            <w:r w:rsidRPr="00BA759C">
              <w:rPr>
                <w:rFonts w:ascii="Arial" w:hAnsi="Arial" w:cs="Arial"/>
                <w:color w:val="002060"/>
                <w:sz w:val="16"/>
                <w:szCs w:val="16"/>
              </w:rPr>
              <w:br/>
              <w:t>Prov. Leoncio Prado Distrito de MDB</w:t>
            </w:r>
            <w:r w:rsidRPr="00BA759C">
              <w:rPr>
                <w:rFonts w:ascii="Arial" w:hAnsi="Arial" w:cs="Arial"/>
                <w:color w:val="002060"/>
                <w:sz w:val="16"/>
                <w:szCs w:val="16"/>
              </w:rPr>
              <w:br/>
              <w:t xml:space="preserve">Prov. </w:t>
            </w:r>
            <w:proofErr w:type="spellStart"/>
            <w:r w:rsidRPr="00BA759C">
              <w:rPr>
                <w:rFonts w:ascii="Arial" w:hAnsi="Arial" w:cs="Arial"/>
                <w:color w:val="002060"/>
                <w:sz w:val="16"/>
                <w:szCs w:val="16"/>
              </w:rPr>
              <w:t>Humalíes</w:t>
            </w:r>
            <w:proofErr w:type="spellEnd"/>
            <w:r w:rsidRPr="00BA759C">
              <w:rPr>
                <w:rFonts w:ascii="Arial" w:hAnsi="Arial" w:cs="Arial"/>
                <w:color w:val="002060"/>
                <w:sz w:val="16"/>
                <w:szCs w:val="16"/>
              </w:rPr>
              <w:br/>
            </w:r>
            <w:proofErr w:type="spellStart"/>
            <w:r w:rsidRPr="00BA759C">
              <w:rPr>
                <w:rFonts w:ascii="Arial" w:hAnsi="Arial" w:cs="Arial"/>
                <w:color w:val="002060"/>
                <w:sz w:val="16"/>
                <w:szCs w:val="16"/>
              </w:rPr>
              <w:t>Distrto</w:t>
            </w:r>
            <w:proofErr w:type="spellEnd"/>
            <w:r w:rsidRPr="00BA759C">
              <w:rPr>
                <w:rFonts w:ascii="Arial" w:hAnsi="Arial" w:cs="Arial"/>
                <w:color w:val="002060"/>
                <w:sz w:val="16"/>
                <w:szCs w:val="16"/>
              </w:rPr>
              <w:t xml:space="preserve"> de Monzón</w:t>
            </w:r>
            <w:r w:rsidRPr="00BA759C">
              <w:rPr>
                <w:rFonts w:ascii="Arial" w:hAnsi="Arial" w:cs="Arial"/>
                <w:color w:val="002060"/>
                <w:sz w:val="16"/>
                <w:szCs w:val="16"/>
              </w:rPr>
              <w:br/>
              <w:t>Provincia de Dos de Mayo</w:t>
            </w:r>
            <w:r w:rsidRPr="00BA759C">
              <w:rPr>
                <w:rFonts w:ascii="Arial" w:hAnsi="Arial" w:cs="Arial"/>
                <w:color w:val="002060"/>
                <w:sz w:val="16"/>
                <w:szCs w:val="16"/>
              </w:rPr>
              <w:br/>
              <w:t>Distrito de Marías</w:t>
            </w:r>
          </w:p>
        </w:tc>
        <w:tc>
          <w:tcPr>
            <w:tcW w:w="1137" w:type="dxa"/>
            <w:tcBorders>
              <w:top w:val="nil"/>
              <w:left w:val="nil"/>
              <w:bottom w:val="single" w:sz="4" w:space="0" w:color="auto"/>
              <w:right w:val="single" w:sz="4" w:space="0" w:color="auto"/>
            </w:tcBorders>
            <w:shd w:val="clear" w:color="000000" w:fill="FFFFFF"/>
            <w:vAlign w:val="center"/>
            <w:hideMark/>
          </w:tcPr>
          <w:p w14:paraId="46223647"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50559.21</w:t>
            </w:r>
          </w:p>
        </w:tc>
        <w:tc>
          <w:tcPr>
            <w:tcW w:w="1134" w:type="dxa"/>
            <w:tcBorders>
              <w:top w:val="nil"/>
              <w:left w:val="nil"/>
              <w:bottom w:val="single" w:sz="4" w:space="0" w:color="auto"/>
              <w:right w:val="single" w:sz="4" w:space="0" w:color="auto"/>
            </w:tcBorders>
            <w:shd w:val="clear" w:color="000000" w:fill="FFFFFF"/>
            <w:vAlign w:val="center"/>
            <w:hideMark/>
          </w:tcPr>
          <w:p w14:paraId="29892AEB" w14:textId="77777777" w:rsidR="00BA759C" w:rsidRPr="00BA759C" w:rsidRDefault="00BA759C">
            <w:pPr>
              <w:ind w:firstLineChars="100" w:firstLine="160"/>
              <w:rPr>
                <w:rFonts w:ascii="Arial" w:hAnsi="Arial" w:cs="Arial"/>
                <w:color w:val="002060"/>
                <w:sz w:val="16"/>
                <w:szCs w:val="16"/>
              </w:rPr>
            </w:pPr>
            <w:r w:rsidRPr="00BA759C">
              <w:rPr>
                <w:rFonts w:ascii="Arial" w:hAnsi="Arial" w:cs="Arial"/>
                <w:color w:val="002060"/>
                <w:sz w:val="16"/>
                <w:szCs w:val="16"/>
              </w:rPr>
              <w:t>50559.21</w:t>
            </w:r>
          </w:p>
        </w:tc>
        <w:tc>
          <w:tcPr>
            <w:tcW w:w="1276" w:type="dxa"/>
            <w:tcBorders>
              <w:top w:val="nil"/>
              <w:left w:val="nil"/>
              <w:bottom w:val="single" w:sz="4" w:space="0" w:color="auto"/>
              <w:right w:val="single" w:sz="4" w:space="0" w:color="auto"/>
            </w:tcBorders>
            <w:shd w:val="clear" w:color="000000" w:fill="FFFFFF"/>
            <w:vAlign w:val="center"/>
            <w:hideMark/>
          </w:tcPr>
          <w:p w14:paraId="0E404D25"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D.S. N° 014 -2019 – MINAN.</w:t>
            </w:r>
            <w:r w:rsidRPr="00BA759C">
              <w:rPr>
                <w:rFonts w:ascii="Arial" w:hAnsi="Arial" w:cs="Arial"/>
                <w:color w:val="002060"/>
                <w:sz w:val="16"/>
                <w:szCs w:val="16"/>
              </w:rPr>
              <w:br/>
              <w:t>Del 01.01.2020</w:t>
            </w:r>
          </w:p>
        </w:tc>
        <w:tc>
          <w:tcPr>
            <w:tcW w:w="2410" w:type="dxa"/>
            <w:tcBorders>
              <w:top w:val="nil"/>
              <w:left w:val="nil"/>
              <w:bottom w:val="single" w:sz="4" w:space="0" w:color="auto"/>
              <w:right w:val="single" w:sz="4" w:space="0" w:color="auto"/>
            </w:tcBorders>
            <w:shd w:val="clear" w:color="000000" w:fill="FFFFFF"/>
            <w:vAlign w:val="center"/>
            <w:hideMark/>
          </w:tcPr>
          <w:p w14:paraId="53DC3AC3" w14:textId="77777777" w:rsidR="00BA759C" w:rsidRPr="00BA759C" w:rsidRDefault="00BA759C">
            <w:pPr>
              <w:rPr>
                <w:rFonts w:ascii="Arial" w:hAnsi="Arial" w:cs="Arial"/>
                <w:color w:val="002060"/>
                <w:sz w:val="16"/>
                <w:szCs w:val="16"/>
              </w:rPr>
            </w:pPr>
            <w:r w:rsidRPr="00BA759C">
              <w:rPr>
                <w:rFonts w:ascii="Arial" w:hAnsi="Arial" w:cs="Arial"/>
                <w:color w:val="002060"/>
                <w:sz w:val="16"/>
                <w:szCs w:val="16"/>
              </w:rPr>
              <w:t xml:space="preserve">Conservar una muestra representativa de </w:t>
            </w:r>
            <w:proofErr w:type="gramStart"/>
            <w:r w:rsidRPr="00BA759C">
              <w:rPr>
                <w:rFonts w:ascii="Arial" w:hAnsi="Arial" w:cs="Arial"/>
                <w:color w:val="002060"/>
                <w:sz w:val="16"/>
                <w:szCs w:val="16"/>
              </w:rPr>
              <w:t>las  yungas</w:t>
            </w:r>
            <w:proofErr w:type="gramEnd"/>
            <w:r w:rsidRPr="00BA759C">
              <w:rPr>
                <w:rFonts w:ascii="Arial" w:hAnsi="Arial" w:cs="Arial"/>
                <w:color w:val="002060"/>
                <w:sz w:val="16"/>
                <w:szCs w:val="16"/>
              </w:rPr>
              <w:t xml:space="preserve"> peruanas y punas húmedas de los andes centrales, así como de la diversidad asociada a la cordillera de Carpish, garantizando la provisión de servicios ecosistémicos en beneficio de las poblaciones locales el uso de los RRNN y la reducción de los efectos cambio climáticos.</w:t>
            </w:r>
          </w:p>
        </w:tc>
      </w:tr>
    </w:tbl>
    <w:p w14:paraId="70CDAB3A" w14:textId="77777777" w:rsidR="00B50826" w:rsidRPr="00BA759C" w:rsidRDefault="00006AE2">
      <w:pPr>
        <w:rPr>
          <w:rFonts w:ascii="Arial" w:eastAsia="Arial" w:hAnsi="Arial" w:cs="Arial"/>
          <w:color w:val="002060"/>
          <w:sz w:val="16"/>
          <w:szCs w:val="16"/>
        </w:rPr>
      </w:pPr>
      <w:r w:rsidRPr="00BA759C">
        <w:rPr>
          <w:rFonts w:ascii="Arial" w:eastAsia="Arial" w:hAnsi="Arial" w:cs="Arial"/>
          <w:color w:val="002060"/>
          <w:sz w:val="16"/>
          <w:szCs w:val="16"/>
        </w:rPr>
        <w:t>Fuente: Recopilado del EPARDB Huánuco.</w:t>
      </w:r>
    </w:p>
    <w:p w14:paraId="1D2ED2E6" w14:textId="77777777" w:rsidR="00B50826" w:rsidRDefault="00B50826">
      <w:pPr>
        <w:jc w:val="both"/>
        <w:rPr>
          <w:rFonts w:ascii="Arial" w:eastAsia="Arial" w:hAnsi="Arial" w:cs="Arial"/>
          <w:color w:val="002060"/>
          <w:sz w:val="20"/>
          <w:szCs w:val="20"/>
        </w:rPr>
      </w:pPr>
    </w:p>
    <w:p w14:paraId="285D7ABA" w14:textId="77777777" w:rsidR="00B50826" w:rsidRDefault="00B50826">
      <w:pPr>
        <w:jc w:val="both"/>
        <w:rPr>
          <w:rFonts w:ascii="Arial" w:eastAsia="Arial" w:hAnsi="Arial" w:cs="Arial"/>
          <w:color w:val="002060"/>
          <w:sz w:val="20"/>
          <w:szCs w:val="20"/>
        </w:rPr>
      </w:pPr>
    </w:p>
    <w:p w14:paraId="2539FBC0"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u w:val="single"/>
        </w:rPr>
        <w:t>Contaminación</w:t>
      </w:r>
      <w:r>
        <w:rPr>
          <w:rFonts w:ascii="Arial" w:eastAsia="Arial" w:hAnsi="Arial" w:cs="Arial"/>
          <w:b/>
          <w:color w:val="002060"/>
          <w:sz w:val="20"/>
          <w:szCs w:val="20"/>
        </w:rPr>
        <w:t>.</w:t>
      </w:r>
    </w:p>
    <w:p w14:paraId="3C7BC7D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Las principales fuentes de contaminación ambiental en la región son: tala y quema de los bosques y purmas, empleo de agroquímicos de manera inadecuada, la acumulación y quema clandestina de basura, inadecuado tratamiento de residuos sólidos urbanos, contaminación de los ríos con aguas servidas, entre otros. </w:t>
      </w:r>
    </w:p>
    <w:p w14:paraId="73AE942A" w14:textId="77777777" w:rsidR="00B50826" w:rsidRDefault="00B50826">
      <w:pPr>
        <w:jc w:val="both"/>
        <w:rPr>
          <w:rFonts w:ascii="Arial" w:eastAsia="Arial" w:hAnsi="Arial" w:cs="Arial"/>
          <w:color w:val="002060"/>
          <w:sz w:val="20"/>
          <w:szCs w:val="20"/>
        </w:rPr>
      </w:pPr>
    </w:p>
    <w:p w14:paraId="0B77024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cuanto a residuos sólidos, Huánuco produce un promedio diario de 297,698 kg, a razón de 0.39 kilos diarios per cápita, cifra inferior al promedio nacional que oscila en 0.73 kilos diarios per cápita. La mayor parte de la basura termina en botaderos (69.2%) en lugar de rellenos sanitarios (25.4%).</w:t>
      </w:r>
    </w:p>
    <w:p w14:paraId="6F9F0A5F" w14:textId="77777777" w:rsidR="00B50826" w:rsidRDefault="00B50826">
      <w:pPr>
        <w:rPr>
          <w:rFonts w:ascii="Arial" w:eastAsia="Arial" w:hAnsi="Arial" w:cs="Arial"/>
          <w:b/>
          <w:color w:val="002060"/>
          <w:sz w:val="20"/>
          <w:szCs w:val="20"/>
        </w:rPr>
      </w:pPr>
    </w:p>
    <w:p w14:paraId="435DE1A3" w14:textId="77777777" w:rsidR="00B50826" w:rsidRDefault="00006AE2">
      <w:pPr>
        <w:rPr>
          <w:rFonts w:ascii="Arial" w:eastAsia="Arial" w:hAnsi="Arial" w:cs="Arial"/>
          <w:b/>
          <w:color w:val="002060"/>
          <w:sz w:val="20"/>
          <w:szCs w:val="20"/>
        </w:rPr>
      </w:pPr>
      <w:r>
        <w:rPr>
          <w:rFonts w:ascii="Arial" w:eastAsia="Arial" w:hAnsi="Arial" w:cs="Arial"/>
          <w:b/>
          <w:color w:val="002060"/>
          <w:sz w:val="20"/>
          <w:szCs w:val="20"/>
        </w:rPr>
        <w:t>Legal</w:t>
      </w:r>
    </w:p>
    <w:p w14:paraId="03A5FF43"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Existe una diversidad de normas de nivel nacional y regional que guardan relación con el tema de la pérdida de bosques. A continuación, un listado de las principales normas sobre la materia:</w:t>
      </w:r>
    </w:p>
    <w:p w14:paraId="123E670A" w14:textId="77777777" w:rsidR="00B50826" w:rsidRDefault="00B50826">
      <w:pPr>
        <w:pBdr>
          <w:top w:val="nil"/>
          <w:left w:val="nil"/>
          <w:bottom w:val="nil"/>
          <w:right w:val="nil"/>
          <w:between w:val="nil"/>
        </w:pBdr>
        <w:ind w:left="708" w:hanging="720"/>
        <w:jc w:val="both"/>
        <w:rPr>
          <w:rFonts w:ascii="Arial" w:eastAsia="Arial" w:hAnsi="Arial" w:cs="Arial"/>
          <w:color w:val="002060"/>
          <w:sz w:val="20"/>
          <w:szCs w:val="20"/>
        </w:rPr>
      </w:pPr>
    </w:p>
    <w:p w14:paraId="7F0398DC"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Constitución Política del Perú de 1993, establece que “toda persona tiene derecho a gozar de un ambiente equilibrado y adecuado para el desarrollo de su vida” (artículo 2 inciso 22); y que el “Estado debe determinar la política nacional del ambiente y promover el uso sostenible de sus recursos naturales (artículo 67º); promover la conservación de la diversidad biológica y de las áreas naturales protegidas (artículo 68º de la Constitución).</w:t>
      </w:r>
    </w:p>
    <w:p w14:paraId="480C32E5" w14:textId="77777777" w:rsidR="00B50826" w:rsidRDefault="00B50826">
      <w:pPr>
        <w:pBdr>
          <w:top w:val="nil"/>
          <w:left w:val="nil"/>
          <w:bottom w:val="nil"/>
          <w:right w:val="nil"/>
          <w:between w:val="nil"/>
        </w:pBdr>
        <w:ind w:left="348" w:hanging="720"/>
        <w:jc w:val="both"/>
        <w:rPr>
          <w:rFonts w:ascii="Arial" w:eastAsia="Arial" w:hAnsi="Arial" w:cs="Arial"/>
          <w:color w:val="002060"/>
          <w:sz w:val="20"/>
          <w:szCs w:val="20"/>
        </w:rPr>
      </w:pPr>
    </w:p>
    <w:p w14:paraId="17096884"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Acuerdo Nacional, Política de Estado N°19: Desarrollo Sostenible y Gestión Ambiental, que menciona el compromiso de “integrar la política nacional ambiental con las políticas económicas, sociales, culturales y de ordenamiento territorial, para contribuir a superar la pobreza y lograr el desarrollo sostenible del Perú”.</w:t>
      </w:r>
    </w:p>
    <w:p w14:paraId="5EFB43F4" w14:textId="77777777" w:rsidR="00B50826" w:rsidRDefault="00B50826">
      <w:pPr>
        <w:pBdr>
          <w:top w:val="nil"/>
          <w:left w:val="nil"/>
          <w:bottom w:val="nil"/>
          <w:right w:val="nil"/>
          <w:between w:val="nil"/>
        </w:pBdr>
        <w:ind w:left="348" w:hanging="720"/>
        <w:jc w:val="both"/>
        <w:rPr>
          <w:rFonts w:ascii="Arial" w:eastAsia="Arial" w:hAnsi="Arial" w:cs="Arial"/>
          <w:color w:val="002060"/>
          <w:sz w:val="20"/>
          <w:szCs w:val="20"/>
        </w:rPr>
      </w:pPr>
    </w:p>
    <w:p w14:paraId="686AC3BA"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Ley Orgánica de Aprovechamiento Sostenible de los Recursos Naturales (Nº 26821), que estipula que la Zonificación Ecológica y Económica –ZEE, es un apoyo para el ordenamiento territorial a fin de evitar conflictos por superposición de títulos y usos inapropiados, y demás fines, y se realiza en base a áreas prioritarias conciliando los intereses nacionales de la conservación del patrimonio natural con el aprovechamiento sostenible de los recursos naturales.</w:t>
      </w:r>
    </w:p>
    <w:p w14:paraId="62E39979" w14:textId="77777777" w:rsidR="00B50826" w:rsidRDefault="00B50826">
      <w:pPr>
        <w:pBdr>
          <w:top w:val="nil"/>
          <w:left w:val="nil"/>
          <w:bottom w:val="nil"/>
          <w:right w:val="nil"/>
          <w:between w:val="nil"/>
        </w:pBdr>
        <w:ind w:left="348" w:hanging="720"/>
        <w:jc w:val="both"/>
        <w:rPr>
          <w:rFonts w:ascii="Arial" w:eastAsia="Arial" w:hAnsi="Arial" w:cs="Arial"/>
          <w:color w:val="002060"/>
          <w:sz w:val="20"/>
          <w:szCs w:val="20"/>
        </w:rPr>
      </w:pPr>
    </w:p>
    <w:p w14:paraId="5083AE2B"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Ley Orgánica de los Gobierno Regionales (Nº 27867), que define como funciones en el sector ambiente y ordenamiento territorial: (i) la formulación e implementación de sus planes y políticas; (</w:t>
      </w:r>
      <w:proofErr w:type="spellStart"/>
      <w:r>
        <w:rPr>
          <w:rFonts w:ascii="Arial" w:eastAsia="Arial" w:hAnsi="Arial" w:cs="Arial"/>
          <w:color w:val="002060"/>
          <w:sz w:val="20"/>
          <w:szCs w:val="20"/>
        </w:rPr>
        <w:t>ii</w:t>
      </w:r>
      <w:proofErr w:type="spellEnd"/>
      <w:r>
        <w:rPr>
          <w:rFonts w:ascii="Arial" w:eastAsia="Arial" w:hAnsi="Arial" w:cs="Arial"/>
          <w:color w:val="002060"/>
          <w:sz w:val="20"/>
          <w:szCs w:val="20"/>
        </w:rPr>
        <w:t>) la propuesta de creación de áreas de conservación regional y local; así como la administración de éstas y de las áreas naturales protegidas, en coordinación con los gobiernos locales; (</w:t>
      </w:r>
      <w:proofErr w:type="spellStart"/>
      <w:r>
        <w:rPr>
          <w:rFonts w:ascii="Arial" w:eastAsia="Arial" w:hAnsi="Arial" w:cs="Arial"/>
          <w:color w:val="002060"/>
          <w:sz w:val="20"/>
          <w:szCs w:val="20"/>
        </w:rPr>
        <w:t>iii</w:t>
      </w:r>
      <w:proofErr w:type="spellEnd"/>
      <w:r>
        <w:rPr>
          <w:rFonts w:ascii="Arial" w:eastAsia="Arial" w:hAnsi="Arial" w:cs="Arial"/>
          <w:color w:val="002060"/>
          <w:sz w:val="20"/>
          <w:szCs w:val="20"/>
        </w:rPr>
        <w:t>) el diseño de los proyectos de conformación de macro regiones y las acciones ordenamiento y delimitación territorial regional; y otras relacionadas.</w:t>
      </w:r>
    </w:p>
    <w:p w14:paraId="66BD8115" w14:textId="77777777" w:rsidR="00B50826" w:rsidRDefault="00B50826">
      <w:pPr>
        <w:pBdr>
          <w:top w:val="nil"/>
          <w:left w:val="nil"/>
          <w:bottom w:val="nil"/>
          <w:right w:val="nil"/>
          <w:between w:val="nil"/>
        </w:pBdr>
        <w:ind w:left="348" w:hanging="720"/>
        <w:jc w:val="both"/>
        <w:rPr>
          <w:rFonts w:ascii="Arial" w:eastAsia="Arial" w:hAnsi="Arial" w:cs="Arial"/>
          <w:color w:val="002060"/>
          <w:sz w:val="20"/>
          <w:szCs w:val="20"/>
        </w:rPr>
      </w:pPr>
    </w:p>
    <w:p w14:paraId="0F0DFE30"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Ley Orgánica de Municipalidades (Nº 27792), que determina que el ordenamiento y el acondicionamiento territorial en el ámbito local es competencia exclusiva de las municipalidades provinciales. Con respecto a la organización del espacio físico y el uso del suelo, las municipalidades provinciales tienen como funciones exclusivas la aprobación de diversos planes como: de acondicionamiento territorial, de desarrollo urbano y rural y de asentamientos humanos; aprueba el esquema de zonificación de áreas urbanas.</w:t>
      </w:r>
    </w:p>
    <w:p w14:paraId="26DD3F12" w14:textId="77777777" w:rsidR="00B50826" w:rsidRDefault="00B50826">
      <w:pPr>
        <w:pBdr>
          <w:top w:val="nil"/>
          <w:left w:val="nil"/>
          <w:bottom w:val="nil"/>
          <w:right w:val="nil"/>
          <w:between w:val="nil"/>
        </w:pBdr>
        <w:ind w:left="348" w:hanging="720"/>
        <w:jc w:val="both"/>
        <w:rPr>
          <w:rFonts w:ascii="Arial" w:eastAsia="Arial" w:hAnsi="Arial" w:cs="Arial"/>
          <w:color w:val="002060"/>
          <w:sz w:val="20"/>
          <w:szCs w:val="20"/>
        </w:rPr>
      </w:pPr>
    </w:p>
    <w:p w14:paraId="10C961E5"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Política Ambiental Nacional</w:t>
      </w:r>
      <w:r>
        <w:rPr>
          <w:rFonts w:ascii="Calibri" w:eastAsia="Calibri" w:hAnsi="Calibri" w:cs="Calibri"/>
          <w:color w:val="002060"/>
          <w:sz w:val="18"/>
          <w:szCs w:val="18"/>
          <w:vertAlign w:val="superscript"/>
        </w:rPr>
        <w:footnoteReference w:id="39"/>
      </w:r>
      <w:r>
        <w:rPr>
          <w:rFonts w:ascii="Arial" w:eastAsia="Arial" w:hAnsi="Arial" w:cs="Arial"/>
          <w:color w:val="002060"/>
          <w:sz w:val="20"/>
          <w:szCs w:val="20"/>
        </w:rPr>
        <w:t>, cuyo Eje de Política 1: Conservación y aprovechamiento sostenible de los recursos naturales y de la diversidad biológica, determina en el Objetivo 5: Alcanzar el ordenamiento del uso y ocupación del territorio nacional, mediante la Zonificación Ecológica Económica, en un marco de seguridad jurídica y prevención de conflicto; y establece como primer lineamiento de política: “Impulsar el Ordenamiento Territorial nacional y la Zonificación Ecológica Económica, como soporte para la conservación, uso y aprovechamiento sostenible de los recursos naturales y de la diversidad biológica, así como la ocupación ordenada del territorio”.</w:t>
      </w:r>
    </w:p>
    <w:p w14:paraId="18BD4531" w14:textId="77777777" w:rsidR="00B50826" w:rsidRDefault="00B50826">
      <w:pPr>
        <w:pBdr>
          <w:top w:val="nil"/>
          <w:left w:val="nil"/>
          <w:bottom w:val="nil"/>
          <w:right w:val="nil"/>
          <w:between w:val="nil"/>
        </w:pBdr>
        <w:ind w:left="348" w:hanging="720"/>
        <w:jc w:val="both"/>
        <w:rPr>
          <w:rFonts w:ascii="Arial" w:eastAsia="Arial" w:hAnsi="Arial" w:cs="Arial"/>
          <w:color w:val="002060"/>
          <w:sz w:val="20"/>
          <w:szCs w:val="20"/>
        </w:rPr>
      </w:pPr>
    </w:p>
    <w:p w14:paraId="301428B7" w14:textId="77777777" w:rsidR="00B50826" w:rsidRDefault="00006AE2">
      <w:pPr>
        <w:numPr>
          <w:ilvl w:val="0"/>
          <w:numId w:val="15"/>
        </w:numPr>
        <w:pBdr>
          <w:top w:val="nil"/>
          <w:left w:val="nil"/>
          <w:bottom w:val="nil"/>
          <w:right w:val="nil"/>
          <w:between w:val="nil"/>
        </w:pBdr>
        <w:ind w:left="0"/>
        <w:jc w:val="both"/>
        <w:rPr>
          <w:rFonts w:ascii="Arial" w:eastAsia="Arial" w:hAnsi="Arial" w:cs="Arial"/>
          <w:color w:val="002060"/>
          <w:sz w:val="20"/>
          <w:szCs w:val="20"/>
        </w:rPr>
      </w:pPr>
      <w:r>
        <w:rPr>
          <w:rFonts w:ascii="Arial" w:eastAsia="Arial" w:hAnsi="Arial" w:cs="Arial"/>
          <w:color w:val="002060"/>
          <w:sz w:val="20"/>
          <w:szCs w:val="20"/>
        </w:rPr>
        <w:t xml:space="preserve">Declaración de Río Branco, Grupo de Trabajo de Gobernadores sobre Clima y Bosques (GCF). Construyendo alianzas y asegurando el apoyo para los bosques, el clima y los medios de subsistencia, Rio Branco, Brasil, 11 de agosto del 2014. Esta Declaración formaliza nuestro compromiso de seguir reduciendo la deforestación, el desarrollo de alianzas con iniciativas del sector </w:t>
      </w:r>
      <w:r>
        <w:rPr>
          <w:rFonts w:ascii="Arial" w:eastAsia="Arial" w:hAnsi="Arial" w:cs="Arial"/>
          <w:color w:val="002060"/>
          <w:sz w:val="20"/>
          <w:szCs w:val="20"/>
        </w:rPr>
        <w:lastRenderedPageBreak/>
        <w:t>privado que aprovechen las oportunidades disponibles a través de los programas jurisdiccionales, y canalizar con rapidez y eficacia los fondos para promover el desarrollo económico de los productores forestales, agricultores, ganaderos, los pueblos indígenas, las comunidades locales y otras partes interesadas del sector forestal. Para lograr estos objetivos, es imprescindible que tengamos un mayor acceso a la ayuda financiera y técnica.</w:t>
      </w:r>
    </w:p>
    <w:p w14:paraId="106ACC00"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6C20D578" w14:textId="77777777" w:rsidR="00B50826" w:rsidRDefault="00006AE2">
      <w:pPr>
        <w:rPr>
          <w:rFonts w:ascii="Arial" w:eastAsia="Arial" w:hAnsi="Arial" w:cs="Arial"/>
          <w:color w:val="002060"/>
          <w:sz w:val="20"/>
          <w:szCs w:val="20"/>
        </w:rPr>
      </w:pPr>
      <w:r>
        <w:rPr>
          <w:rFonts w:ascii="Arial" w:eastAsia="Arial" w:hAnsi="Arial" w:cs="Arial"/>
          <w:color w:val="002060"/>
          <w:sz w:val="20"/>
          <w:szCs w:val="20"/>
        </w:rPr>
        <w:t xml:space="preserve">  </w:t>
      </w:r>
    </w:p>
    <w:p w14:paraId="42AA42A5" w14:textId="77777777" w:rsidR="00B50826" w:rsidRDefault="00006AE2">
      <w:pPr>
        <w:numPr>
          <w:ilvl w:val="0"/>
          <w:numId w:val="14"/>
        </w:numPr>
        <w:pBdr>
          <w:top w:val="nil"/>
          <w:left w:val="nil"/>
          <w:bottom w:val="nil"/>
          <w:right w:val="nil"/>
          <w:between w:val="nil"/>
        </w:pBdr>
        <w:ind w:left="0" w:hanging="426"/>
        <w:rPr>
          <w:rFonts w:ascii="Arial" w:eastAsia="Arial" w:hAnsi="Arial" w:cs="Arial"/>
          <w:b/>
          <w:color w:val="002060"/>
          <w:sz w:val="20"/>
          <w:szCs w:val="20"/>
        </w:rPr>
      </w:pPr>
      <w:r>
        <w:rPr>
          <w:rFonts w:ascii="Arial" w:eastAsia="Arial" w:hAnsi="Arial" w:cs="Arial"/>
          <w:b/>
          <w:color w:val="002060"/>
          <w:sz w:val="20"/>
          <w:szCs w:val="20"/>
        </w:rPr>
        <w:t>Seguridad.</w:t>
      </w:r>
    </w:p>
    <w:p w14:paraId="18CB9D12"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565568F2" w14:textId="77777777" w:rsidR="00B50826" w:rsidRDefault="00006AE2" w:rsidP="001367B5">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El desarrollo de cultivos ilícitos como el cultivo de la hoja de coca genera inseguridad, violencia, situación de incertidumbre y pobreza en las zonas donde se cultiva y desarrolla en narcotráfico.</w:t>
      </w:r>
    </w:p>
    <w:p w14:paraId="25A7E89A"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359329DF"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Cuadro Nº 18</w:t>
      </w:r>
    </w:p>
    <w:p w14:paraId="69BA2641" w14:textId="77777777" w:rsidR="00B50826" w:rsidRDefault="00B50826">
      <w:pPr>
        <w:pBdr>
          <w:top w:val="nil"/>
          <w:left w:val="nil"/>
          <w:bottom w:val="nil"/>
          <w:right w:val="nil"/>
          <w:between w:val="nil"/>
        </w:pBdr>
        <w:ind w:hanging="720"/>
        <w:jc w:val="center"/>
        <w:rPr>
          <w:rFonts w:ascii="Arial" w:eastAsia="Arial" w:hAnsi="Arial" w:cs="Arial"/>
          <w:color w:val="002060"/>
          <w:sz w:val="20"/>
          <w:szCs w:val="20"/>
        </w:rPr>
      </w:pPr>
    </w:p>
    <w:p w14:paraId="255A6814"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Evolución del cultivo de coca</w:t>
      </w:r>
    </w:p>
    <w:p w14:paraId="1857804A" w14:textId="77777777" w:rsidR="00B50826" w:rsidRDefault="00006AE2">
      <w:pPr>
        <w:pBdr>
          <w:top w:val="nil"/>
          <w:left w:val="nil"/>
          <w:bottom w:val="nil"/>
          <w:right w:val="nil"/>
          <w:between w:val="nil"/>
        </w:pBdr>
        <w:ind w:left="720" w:hanging="720"/>
        <w:jc w:val="both"/>
        <w:rPr>
          <w:rFonts w:ascii="Arial" w:eastAsia="Arial" w:hAnsi="Arial" w:cs="Arial"/>
          <w:color w:val="002060"/>
          <w:sz w:val="20"/>
          <w:szCs w:val="20"/>
        </w:rPr>
      </w:pPr>
      <w:r>
        <w:rPr>
          <w:noProof/>
        </w:rPr>
        <w:drawing>
          <wp:inline distT="0" distB="0" distL="0" distR="0" wp14:anchorId="28EC5E81" wp14:editId="0EF2439F">
            <wp:extent cx="5695950" cy="525145"/>
            <wp:effectExtent l="0" t="0" r="0" b="0"/>
            <wp:docPr id="2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a:stretch>
                      <a:fillRect/>
                    </a:stretch>
                  </pic:blipFill>
                  <pic:spPr>
                    <a:xfrm>
                      <a:off x="0" y="0"/>
                      <a:ext cx="5695963" cy="525553"/>
                    </a:xfrm>
                    <a:prstGeom prst="rect">
                      <a:avLst/>
                    </a:prstGeom>
                    <a:ln/>
                  </pic:spPr>
                </pic:pic>
              </a:graphicData>
            </a:graphic>
          </wp:inline>
        </w:drawing>
      </w:r>
    </w:p>
    <w:p w14:paraId="6FE1531F"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Fuente: DEVIDA.</w:t>
      </w:r>
    </w:p>
    <w:p w14:paraId="323ECDF7"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2E704064" w14:textId="77777777" w:rsidR="00B50826" w:rsidRDefault="00006AE2" w:rsidP="001367B5">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Como se puede observar en el cuadro precedente, los cultivos de coca se han reducido significativamente, sin embargo, es importante no bajar la guardia, para controlar o evitar que se incremente este cultivo, es importante señalar que en el distrito de Monzón, hace una década no era posible el ingreso dado que éste estaba controlado por el narcotráfico, situación ya revertida.</w:t>
      </w:r>
    </w:p>
    <w:p w14:paraId="236316FE" w14:textId="77777777" w:rsidR="00B50826" w:rsidRDefault="00006AE2">
      <w:pPr>
        <w:numPr>
          <w:ilvl w:val="0"/>
          <w:numId w:val="14"/>
        </w:numPr>
        <w:pBdr>
          <w:top w:val="nil"/>
          <w:left w:val="nil"/>
          <w:bottom w:val="nil"/>
          <w:right w:val="nil"/>
          <w:between w:val="nil"/>
        </w:pBdr>
        <w:ind w:left="0" w:hanging="426"/>
        <w:rPr>
          <w:rFonts w:ascii="Arial" w:eastAsia="Arial" w:hAnsi="Arial" w:cs="Arial"/>
          <w:b/>
          <w:color w:val="002060"/>
          <w:sz w:val="20"/>
          <w:szCs w:val="20"/>
        </w:rPr>
      </w:pPr>
      <w:r>
        <w:rPr>
          <w:rFonts w:ascii="Arial" w:eastAsia="Arial" w:hAnsi="Arial" w:cs="Arial"/>
          <w:b/>
          <w:color w:val="002060"/>
          <w:sz w:val="20"/>
          <w:szCs w:val="20"/>
        </w:rPr>
        <w:t>Tecnológico</w:t>
      </w:r>
    </w:p>
    <w:p w14:paraId="2B75DFDF" w14:textId="77777777" w:rsidR="00B50826" w:rsidRDefault="00B50826">
      <w:pPr>
        <w:pBdr>
          <w:top w:val="nil"/>
          <w:left w:val="nil"/>
          <w:bottom w:val="nil"/>
          <w:right w:val="nil"/>
          <w:between w:val="nil"/>
        </w:pBdr>
        <w:ind w:left="1728" w:hanging="720"/>
        <w:rPr>
          <w:rFonts w:ascii="Arial" w:eastAsia="Arial" w:hAnsi="Arial" w:cs="Arial"/>
          <w:color w:val="002060"/>
          <w:sz w:val="20"/>
          <w:szCs w:val="20"/>
        </w:rPr>
      </w:pPr>
    </w:p>
    <w:p w14:paraId="641A406E"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Servicios financieros</w:t>
      </w:r>
    </w:p>
    <w:p w14:paraId="5E26B4AB"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Como todos sabemos, la agricultura es una actividad económica de alto riesgo, ello porque la producción depende de una serie de variables exógenas como el clima, sumado a ello la alta elasticidad de los precios de los productos, estas condiciones de alto riesgo, generan altos costos de los intereses a los préstamos otorgados a los agricultores, los mismos que son superiores al 25% de interés anual.</w:t>
      </w:r>
    </w:p>
    <w:p w14:paraId="0DEDF5DE" w14:textId="77777777" w:rsidR="00B50826" w:rsidRDefault="00B50826">
      <w:pPr>
        <w:jc w:val="both"/>
        <w:rPr>
          <w:rFonts w:ascii="Arial" w:eastAsia="Arial" w:hAnsi="Arial" w:cs="Arial"/>
          <w:color w:val="002060"/>
          <w:sz w:val="20"/>
          <w:szCs w:val="20"/>
        </w:rPr>
      </w:pPr>
    </w:p>
    <w:p w14:paraId="7CFDEEC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AGROBANCO tiene presencia en las capitales de provincia como Tingo María y Puerto Inca, sin embargo, exige una serie de requisitos que difícilmente pueden cumplir los productores; esta deficiencia de créditos o capital de trabajo limita significativamente la tecnificación en el sector agropecuario.</w:t>
      </w:r>
    </w:p>
    <w:p w14:paraId="34BE6425" w14:textId="77777777" w:rsidR="00B50826" w:rsidRDefault="00B50826">
      <w:pPr>
        <w:pBdr>
          <w:top w:val="nil"/>
          <w:left w:val="nil"/>
          <w:bottom w:val="nil"/>
          <w:right w:val="nil"/>
          <w:between w:val="nil"/>
        </w:pBdr>
        <w:ind w:left="1728" w:hanging="720"/>
        <w:rPr>
          <w:rFonts w:ascii="Arial" w:eastAsia="Arial" w:hAnsi="Arial" w:cs="Arial"/>
          <w:color w:val="002060"/>
          <w:sz w:val="20"/>
          <w:szCs w:val="20"/>
        </w:rPr>
      </w:pPr>
    </w:p>
    <w:p w14:paraId="0714B217"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Inversión Privada</w:t>
      </w:r>
    </w:p>
    <w:p w14:paraId="4000DD3E"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Las tres grandes cuencas de la región (Marañón, Huallaga y Pachitea) y su compleja red de tributarios sustentan un altísimo potencial energético, atractivo para la promoción de la inversión privada en centrales hidroeléctricas de relativamente bajo impacto ambiental, puesto que se basan en las diferencias de altitud sin necesidad de afectar grandes superficies de terrenos.</w:t>
      </w:r>
    </w:p>
    <w:p w14:paraId="7C3478E6"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040F068B"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Se ha estimado un potencial para la construcción de 80 centrales hidroeléctricas, que requieren una inversión de US$ 8 mil millones, las cuales generarían en conjunto S/.260 millones anuales en canon energético para la región. Actualmente se tiene una operativa y dos construcción, además siete proyectos en camino, con una inversión total de aproximadamente $800 millones. El GORE Huánuco tendrá la oportunidad de orientar parte de sus ingresos por canon energético a inversiones que contribuyan al desarrollo regional sostenible y bajo en emisiones, incluyendo mecanismos de financiamiento bajo el modelo de los FONDESAM existentes en San Martín y Ucayali.</w:t>
      </w:r>
    </w:p>
    <w:p w14:paraId="4F7AC70E" w14:textId="77777777" w:rsidR="00B50826" w:rsidRDefault="00B50826">
      <w:pPr>
        <w:pBdr>
          <w:top w:val="nil"/>
          <w:left w:val="nil"/>
          <w:bottom w:val="nil"/>
          <w:right w:val="nil"/>
          <w:between w:val="nil"/>
        </w:pBdr>
        <w:ind w:left="1728" w:hanging="720"/>
        <w:jc w:val="both"/>
        <w:rPr>
          <w:rFonts w:ascii="Arial" w:eastAsia="Arial" w:hAnsi="Arial" w:cs="Arial"/>
          <w:color w:val="002060"/>
          <w:sz w:val="20"/>
          <w:szCs w:val="20"/>
        </w:rPr>
      </w:pPr>
    </w:p>
    <w:p w14:paraId="343345A5"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La principal inversión privada en el departamento culminó en setiembre de 2016, con el ingreso a operaciones de la Central Hidroeléctrica de </w:t>
      </w:r>
      <w:proofErr w:type="spellStart"/>
      <w:r>
        <w:rPr>
          <w:rFonts w:ascii="Arial" w:eastAsia="Arial" w:hAnsi="Arial" w:cs="Arial"/>
          <w:color w:val="002060"/>
          <w:sz w:val="20"/>
          <w:szCs w:val="20"/>
        </w:rPr>
        <w:t>Chaglla</w:t>
      </w:r>
      <w:proofErr w:type="spellEnd"/>
      <w:r>
        <w:rPr>
          <w:rFonts w:ascii="Arial" w:eastAsia="Arial" w:hAnsi="Arial" w:cs="Arial"/>
          <w:color w:val="002060"/>
          <w:sz w:val="20"/>
          <w:szCs w:val="20"/>
        </w:rPr>
        <w:t>. La inversión total sumó US$ 1,400 millones contando con una potencia instalada de 456 MW y 2,750 GW por año, alimentada por las aguas del río Huallaga, que se embalsan aproximadamente 30 km aguas arriba. Se trata de la tercera más grande hidroeléctrica del país, luego de las centrales de El Mantaro (Santiago Antúnez de Mayolo y Restitución) y Cerro del Águila, ambas ubicadas en Huancavelica.</w:t>
      </w:r>
    </w:p>
    <w:p w14:paraId="2E039173" w14:textId="77777777" w:rsidR="00B50826" w:rsidRDefault="00B50826">
      <w:pPr>
        <w:jc w:val="both"/>
        <w:rPr>
          <w:rFonts w:ascii="Arial" w:eastAsia="Arial" w:hAnsi="Arial" w:cs="Arial"/>
          <w:color w:val="002060"/>
          <w:sz w:val="20"/>
          <w:szCs w:val="20"/>
        </w:rPr>
      </w:pPr>
    </w:p>
    <w:p w14:paraId="59EFBFB1"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lastRenderedPageBreak/>
        <w:t>En electricidad, la empresa Odebrecht Perú Ingeniería y Construcciones construirá la central hidroeléctrica Bello Horizonte, en el distrito de Monzón, provincia de Huamalíes, con una potencia instalada de 180 MW. La inversión estimada asciende a US$ 389 millones, no habiéndose iniciado aún su construcción. En electricidad, la empresa Generación Eléctrica Santa Lorenza construirá la central hidroeléctrica Santa Lorenza I.</w:t>
      </w:r>
    </w:p>
    <w:p w14:paraId="5D99DE1D" w14:textId="77777777" w:rsidR="00B50826" w:rsidRDefault="00B50826">
      <w:pPr>
        <w:jc w:val="both"/>
        <w:rPr>
          <w:rFonts w:ascii="Arial" w:eastAsia="Arial" w:hAnsi="Arial" w:cs="Arial"/>
          <w:color w:val="002060"/>
          <w:sz w:val="20"/>
          <w:szCs w:val="20"/>
        </w:rPr>
      </w:pPr>
    </w:p>
    <w:p w14:paraId="72EADF31" w14:textId="77777777" w:rsidR="00B50826" w:rsidRDefault="00B50826">
      <w:pPr>
        <w:jc w:val="both"/>
        <w:rPr>
          <w:rFonts w:ascii="Arial" w:eastAsia="Arial" w:hAnsi="Arial" w:cs="Arial"/>
          <w:color w:val="002060"/>
          <w:sz w:val="20"/>
          <w:szCs w:val="20"/>
          <w:highlight w:val="yellow"/>
        </w:rPr>
      </w:pPr>
    </w:p>
    <w:p w14:paraId="378140C7"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highlight w:val="yellow"/>
        </w:rPr>
      </w:pPr>
      <w:r>
        <w:rPr>
          <w:rFonts w:ascii="Arial" w:eastAsia="Arial" w:hAnsi="Arial" w:cs="Arial"/>
          <w:b/>
          <w:color w:val="002060"/>
          <w:highlight w:val="yellow"/>
        </w:rPr>
        <w:t>Política regional de desarrollo rural bajo en emisiones.</w:t>
      </w:r>
    </w:p>
    <w:p w14:paraId="749EF45F" w14:textId="77777777" w:rsidR="00B50826" w:rsidRDefault="00B50826">
      <w:pPr>
        <w:pBdr>
          <w:top w:val="nil"/>
          <w:left w:val="nil"/>
          <w:bottom w:val="nil"/>
          <w:right w:val="nil"/>
          <w:between w:val="nil"/>
        </w:pBdr>
        <w:ind w:left="-567" w:hanging="719"/>
        <w:rPr>
          <w:rFonts w:ascii="Arial" w:eastAsia="Arial" w:hAnsi="Arial" w:cs="Arial"/>
          <w:b/>
          <w:color w:val="002060"/>
          <w:sz w:val="20"/>
          <w:szCs w:val="20"/>
        </w:rPr>
      </w:pPr>
    </w:p>
    <w:p w14:paraId="1111D7CD" w14:textId="77777777" w:rsidR="001367B5" w:rsidRDefault="00006AE2">
      <w:pPr>
        <w:spacing w:line="276" w:lineRule="auto"/>
        <w:jc w:val="both"/>
        <w:rPr>
          <w:rFonts w:ascii="Arial" w:eastAsia="Arial" w:hAnsi="Arial" w:cs="Arial"/>
          <w:color w:val="002060"/>
          <w:sz w:val="20"/>
          <w:szCs w:val="20"/>
        </w:rPr>
      </w:pPr>
      <w:r>
        <w:rPr>
          <w:rFonts w:ascii="Arial" w:eastAsia="Arial" w:hAnsi="Arial" w:cs="Arial"/>
          <w:color w:val="002060"/>
          <w:sz w:val="20"/>
          <w:szCs w:val="20"/>
        </w:rPr>
        <w:t>Esta estrategia se alinea con las prioridades y políticas de estado y gobierno, enmarcadas a la Política Nacional de Modernización de la Gestión Pública</w:t>
      </w:r>
      <w:r>
        <w:rPr>
          <w:rFonts w:ascii="Arial" w:eastAsia="Arial" w:hAnsi="Arial" w:cs="Arial"/>
          <w:color w:val="002060"/>
          <w:sz w:val="20"/>
          <w:szCs w:val="20"/>
          <w:vertAlign w:val="superscript"/>
        </w:rPr>
        <w:footnoteReference w:id="40"/>
      </w:r>
      <w:r>
        <w:rPr>
          <w:rFonts w:ascii="Arial" w:eastAsia="Arial" w:hAnsi="Arial" w:cs="Arial"/>
          <w:color w:val="002060"/>
          <w:sz w:val="20"/>
          <w:szCs w:val="20"/>
        </w:rPr>
        <w:t>; se viene impulsando en todas las entidades públicas, el proceso de modernización hacia una gestión pública para resultados que impacte positivamente en el bienestar del ciudadano y el desarrollo del país; en ella, se cuenta con tres ejes transversales y cinco pilares; ubicándose la esta estrategia, en el Primer Pilar de Planes Estratégicos y en el quinto pilar seguimiento y evaluación de planes.</w:t>
      </w:r>
    </w:p>
    <w:p w14:paraId="74908D8A" w14:textId="77777777" w:rsidR="00B50826" w:rsidRDefault="00006AE2">
      <w:pPr>
        <w:spacing w:line="276" w:lineRule="auto"/>
        <w:jc w:val="both"/>
        <w:rPr>
          <w:rFonts w:ascii="Arial" w:eastAsia="Arial" w:hAnsi="Arial" w:cs="Arial"/>
          <w:color w:val="002060"/>
          <w:sz w:val="20"/>
          <w:szCs w:val="20"/>
        </w:rPr>
      </w:pPr>
      <w:r>
        <w:rPr>
          <w:rFonts w:ascii="Arial" w:eastAsia="Arial" w:hAnsi="Arial" w:cs="Arial"/>
          <w:color w:val="002060"/>
          <w:sz w:val="20"/>
          <w:szCs w:val="20"/>
        </w:rPr>
        <w:t xml:space="preserve"> </w:t>
      </w:r>
    </w:p>
    <w:p w14:paraId="6892DE91" w14:textId="77777777" w:rsidR="00B50826" w:rsidRDefault="00006AE2">
      <w:pPr>
        <w:spacing w:line="276" w:lineRule="auto"/>
        <w:jc w:val="both"/>
        <w:rPr>
          <w:rFonts w:ascii="Arial" w:eastAsia="Arial" w:hAnsi="Arial" w:cs="Arial"/>
          <w:color w:val="002060"/>
          <w:sz w:val="20"/>
          <w:szCs w:val="20"/>
        </w:rPr>
      </w:pPr>
      <w:r>
        <w:rPr>
          <w:rFonts w:ascii="Arial" w:eastAsia="Arial" w:hAnsi="Arial" w:cs="Arial"/>
          <w:color w:val="002060"/>
          <w:sz w:val="20"/>
          <w:szCs w:val="20"/>
        </w:rPr>
        <w:t xml:space="preserve">Converge </w:t>
      </w:r>
      <w:proofErr w:type="gramStart"/>
      <w:r>
        <w:rPr>
          <w:rFonts w:ascii="Arial" w:eastAsia="Arial" w:hAnsi="Arial" w:cs="Arial"/>
          <w:color w:val="002060"/>
          <w:sz w:val="20"/>
          <w:szCs w:val="20"/>
        </w:rPr>
        <w:t>con  varias</w:t>
      </w:r>
      <w:proofErr w:type="gramEnd"/>
      <w:r>
        <w:rPr>
          <w:rFonts w:ascii="Arial" w:eastAsia="Arial" w:hAnsi="Arial" w:cs="Arial"/>
          <w:color w:val="002060"/>
          <w:sz w:val="20"/>
          <w:szCs w:val="20"/>
        </w:rPr>
        <w:t xml:space="preserve"> de las 25 funciones del estado</w:t>
      </w:r>
      <w:r>
        <w:rPr>
          <w:rFonts w:ascii="Arial" w:eastAsia="Arial" w:hAnsi="Arial" w:cs="Arial"/>
          <w:color w:val="002060"/>
          <w:sz w:val="20"/>
          <w:szCs w:val="20"/>
          <w:vertAlign w:val="superscript"/>
        </w:rPr>
        <w:footnoteReference w:id="41"/>
      </w:r>
      <w:r>
        <w:rPr>
          <w:rFonts w:ascii="Arial" w:eastAsia="Arial" w:hAnsi="Arial" w:cs="Arial"/>
          <w:color w:val="002060"/>
          <w:sz w:val="20"/>
          <w:szCs w:val="20"/>
        </w:rPr>
        <w:t>, que se desarrollan en los tres (3) niveles de Gobierno, mediante políticas y objetivos estratégicos que articulan y alinean entre ellas.</w:t>
      </w:r>
    </w:p>
    <w:p w14:paraId="65714F31" w14:textId="77777777" w:rsidR="00B50826" w:rsidRDefault="00006AE2">
      <w:pPr>
        <w:spacing w:line="276" w:lineRule="auto"/>
        <w:jc w:val="both"/>
        <w:rPr>
          <w:rFonts w:ascii="Arial" w:eastAsia="Arial" w:hAnsi="Arial" w:cs="Arial"/>
          <w:color w:val="002060"/>
          <w:sz w:val="20"/>
          <w:szCs w:val="20"/>
        </w:rPr>
      </w:pPr>
      <w:r>
        <w:rPr>
          <w:rFonts w:ascii="Arial" w:eastAsia="Arial" w:hAnsi="Arial" w:cs="Arial"/>
          <w:color w:val="002060"/>
          <w:sz w:val="20"/>
          <w:szCs w:val="20"/>
        </w:rPr>
        <w:t>Los lineamientos de política de esta estrategia, se alinean con las políticas de estado</w:t>
      </w:r>
      <w:r>
        <w:rPr>
          <w:rFonts w:ascii="Arial" w:eastAsia="Arial" w:hAnsi="Arial" w:cs="Arial"/>
          <w:color w:val="002060"/>
          <w:sz w:val="20"/>
          <w:szCs w:val="20"/>
          <w:vertAlign w:val="superscript"/>
        </w:rPr>
        <w:footnoteReference w:id="42"/>
      </w:r>
      <w:r>
        <w:rPr>
          <w:rFonts w:ascii="Arial" w:eastAsia="Arial" w:hAnsi="Arial" w:cs="Arial"/>
          <w:color w:val="002060"/>
          <w:sz w:val="20"/>
          <w:szCs w:val="20"/>
        </w:rPr>
        <w:t>, 5 políticas nacionales</w:t>
      </w:r>
      <w:r>
        <w:rPr>
          <w:rFonts w:ascii="Arial" w:eastAsia="Arial" w:hAnsi="Arial" w:cs="Arial"/>
          <w:color w:val="002060"/>
          <w:sz w:val="20"/>
          <w:szCs w:val="20"/>
          <w:vertAlign w:val="superscript"/>
        </w:rPr>
        <w:footnoteReference w:id="43"/>
      </w:r>
      <w:r>
        <w:rPr>
          <w:rFonts w:ascii="Arial" w:eastAsia="Arial" w:hAnsi="Arial" w:cs="Arial"/>
          <w:color w:val="002060"/>
          <w:sz w:val="20"/>
          <w:szCs w:val="20"/>
        </w:rPr>
        <w:t xml:space="preserve"> decretada por el gobierno de turno, 4 políticas ambientales</w:t>
      </w:r>
      <w:r>
        <w:rPr>
          <w:rFonts w:ascii="Arial" w:eastAsia="Arial" w:hAnsi="Arial" w:cs="Arial"/>
          <w:color w:val="002060"/>
          <w:sz w:val="20"/>
          <w:szCs w:val="20"/>
          <w:vertAlign w:val="superscript"/>
        </w:rPr>
        <w:footnoteReference w:id="44"/>
      </w:r>
      <w:r>
        <w:rPr>
          <w:rFonts w:ascii="Arial" w:eastAsia="Arial" w:hAnsi="Arial" w:cs="Arial"/>
          <w:color w:val="002060"/>
          <w:sz w:val="20"/>
          <w:szCs w:val="20"/>
        </w:rPr>
        <w:t>, 12 políticas agrarias</w:t>
      </w:r>
      <w:r>
        <w:rPr>
          <w:rFonts w:ascii="Arial" w:eastAsia="Arial" w:hAnsi="Arial" w:cs="Arial"/>
          <w:color w:val="002060"/>
          <w:sz w:val="20"/>
          <w:szCs w:val="20"/>
          <w:vertAlign w:val="superscript"/>
        </w:rPr>
        <w:footnoteReference w:id="45"/>
      </w:r>
      <w:r>
        <w:rPr>
          <w:rFonts w:ascii="Arial" w:eastAsia="Arial" w:hAnsi="Arial" w:cs="Arial"/>
          <w:color w:val="002060"/>
          <w:sz w:val="20"/>
          <w:szCs w:val="20"/>
        </w:rPr>
        <w:t>, 17 políticas territoriales del Departamento de Huánuco</w:t>
      </w:r>
      <w:r>
        <w:rPr>
          <w:rFonts w:ascii="Arial" w:eastAsia="Arial" w:hAnsi="Arial" w:cs="Arial"/>
          <w:color w:val="002060"/>
          <w:sz w:val="20"/>
          <w:szCs w:val="20"/>
          <w:vertAlign w:val="superscript"/>
        </w:rPr>
        <w:footnoteReference w:id="46"/>
      </w:r>
      <w:r>
        <w:rPr>
          <w:rFonts w:ascii="Arial" w:eastAsia="Arial" w:hAnsi="Arial" w:cs="Arial"/>
          <w:color w:val="002060"/>
          <w:sz w:val="20"/>
          <w:szCs w:val="20"/>
        </w:rPr>
        <w:t>, 8 lineamientos de políticas institucionales del Gobierno Regional Huánuco</w:t>
      </w:r>
      <w:r>
        <w:rPr>
          <w:rFonts w:ascii="Arial" w:eastAsia="Arial" w:hAnsi="Arial" w:cs="Arial"/>
          <w:color w:val="002060"/>
          <w:sz w:val="20"/>
          <w:szCs w:val="20"/>
          <w:vertAlign w:val="superscript"/>
        </w:rPr>
        <w:footnoteReference w:id="47"/>
      </w:r>
      <w:r>
        <w:rPr>
          <w:rFonts w:ascii="Arial" w:eastAsia="Arial" w:hAnsi="Arial" w:cs="Arial"/>
          <w:color w:val="002060"/>
          <w:sz w:val="20"/>
          <w:szCs w:val="20"/>
        </w:rPr>
        <w:t xml:space="preserve">. </w:t>
      </w:r>
    </w:p>
    <w:p w14:paraId="46F807EE" w14:textId="77777777" w:rsidR="00B50826" w:rsidRDefault="00006AE2">
      <w:pPr>
        <w:spacing w:line="276" w:lineRule="auto"/>
        <w:jc w:val="both"/>
        <w:rPr>
          <w:rFonts w:ascii="Arial" w:eastAsia="Arial" w:hAnsi="Arial" w:cs="Arial"/>
          <w:color w:val="002060"/>
          <w:sz w:val="20"/>
          <w:szCs w:val="20"/>
        </w:rPr>
      </w:pPr>
      <w:r>
        <w:rPr>
          <w:rFonts w:ascii="Arial" w:eastAsia="Arial" w:hAnsi="Arial" w:cs="Arial"/>
          <w:color w:val="002060"/>
          <w:sz w:val="20"/>
          <w:szCs w:val="20"/>
        </w:rPr>
        <w:t xml:space="preserve">En anexo N° … se presenta la Matriz de Alineamiento de las Políticas Públicas, articuladas con esta estrategia, donde se observa:  </w:t>
      </w:r>
    </w:p>
    <w:p w14:paraId="34551C57" w14:textId="77777777" w:rsidR="00B50826" w:rsidRDefault="00006AE2" w:rsidP="001367B5">
      <w:pPr>
        <w:numPr>
          <w:ilvl w:val="0"/>
          <w:numId w:val="23"/>
        </w:numPr>
        <w:pBdr>
          <w:top w:val="nil"/>
          <w:left w:val="nil"/>
          <w:bottom w:val="nil"/>
          <w:right w:val="nil"/>
          <w:between w:val="nil"/>
        </w:pBdr>
        <w:spacing w:line="276" w:lineRule="auto"/>
        <w:ind w:left="0" w:hanging="284"/>
        <w:jc w:val="both"/>
        <w:rPr>
          <w:rFonts w:ascii="Arial" w:eastAsia="Arial" w:hAnsi="Arial" w:cs="Arial"/>
          <w:color w:val="002060"/>
          <w:sz w:val="20"/>
          <w:szCs w:val="20"/>
        </w:rPr>
      </w:pPr>
      <w:r>
        <w:rPr>
          <w:rFonts w:ascii="Arial" w:eastAsia="Arial" w:hAnsi="Arial" w:cs="Arial"/>
          <w:color w:val="002060"/>
          <w:sz w:val="20"/>
          <w:szCs w:val="20"/>
        </w:rPr>
        <w:t>La matriz muestra, que 18 Políticas de Estado acordadas en el Acuerdo de Gobernabilidad Nacional, se alinean a los propósitos de la ERDRBE, siendo los alineamientos principales el sector ambiente y productivo.</w:t>
      </w:r>
    </w:p>
    <w:p w14:paraId="402CF824" w14:textId="77777777" w:rsidR="00B50826" w:rsidRDefault="00006AE2" w:rsidP="001367B5">
      <w:pPr>
        <w:numPr>
          <w:ilvl w:val="0"/>
          <w:numId w:val="23"/>
        </w:numPr>
        <w:pBdr>
          <w:top w:val="nil"/>
          <w:left w:val="nil"/>
          <w:bottom w:val="nil"/>
          <w:right w:val="nil"/>
          <w:between w:val="nil"/>
        </w:pBdr>
        <w:spacing w:line="276" w:lineRule="auto"/>
        <w:ind w:left="0" w:hanging="284"/>
        <w:jc w:val="both"/>
        <w:rPr>
          <w:rFonts w:ascii="Arial" w:eastAsia="Arial" w:hAnsi="Arial" w:cs="Arial"/>
          <w:color w:val="002060"/>
          <w:sz w:val="20"/>
          <w:szCs w:val="20"/>
        </w:rPr>
      </w:pPr>
      <w:r>
        <w:rPr>
          <w:rFonts w:ascii="Arial" w:eastAsia="Arial" w:hAnsi="Arial" w:cs="Arial"/>
          <w:color w:val="002060"/>
          <w:sz w:val="20"/>
          <w:szCs w:val="20"/>
        </w:rPr>
        <w:t>Las Políticas nacionales son decretadas por el gobierno de turno; las actividades, programas y proyectos se programan y ejecutan en función a ellas; en ese sentido, ésta estrategia, se alinea con 4 políticas, principalmente en las variables gobernabilidad y crecimiento económico.</w:t>
      </w:r>
    </w:p>
    <w:p w14:paraId="1838624F" w14:textId="77777777" w:rsidR="00B50826" w:rsidRDefault="00006AE2" w:rsidP="001367B5">
      <w:pPr>
        <w:numPr>
          <w:ilvl w:val="0"/>
          <w:numId w:val="23"/>
        </w:numPr>
        <w:pBdr>
          <w:top w:val="nil"/>
          <w:left w:val="nil"/>
          <w:bottom w:val="nil"/>
          <w:right w:val="nil"/>
          <w:between w:val="nil"/>
        </w:pBdr>
        <w:spacing w:line="276" w:lineRule="auto"/>
        <w:ind w:left="0" w:hanging="284"/>
        <w:jc w:val="both"/>
        <w:rPr>
          <w:rFonts w:ascii="Arial" w:eastAsia="Arial" w:hAnsi="Arial" w:cs="Arial"/>
          <w:color w:val="002060"/>
          <w:sz w:val="20"/>
          <w:szCs w:val="20"/>
        </w:rPr>
      </w:pPr>
      <w:r>
        <w:rPr>
          <w:rFonts w:ascii="Arial" w:eastAsia="Arial" w:hAnsi="Arial" w:cs="Arial"/>
          <w:color w:val="002060"/>
          <w:sz w:val="20"/>
          <w:szCs w:val="20"/>
        </w:rPr>
        <w:t>Las políticas territoriales acordadas en el Acuerdo de Gobernabilidad Regional de Huánuco, cumplen una misión en la toma de decisiones del departamento, 15 de ellas, se alinean con ésta estrategia, principalmente el sector ambiente y agropecuario.</w:t>
      </w:r>
    </w:p>
    <w:p w14:paraId="46203363" w14:textId="77777777" w:rsidR="00B50826" w:rsidRDefault="00006AE2" w:rsidP="001367B5">
      <w:pPr>
        <w:numPr>
          <w:ilvl w:val="0"/>
          <w:numId w:val="23"/>
        </w:numPr>
        <w:pBdr>
          <w:top w:val="nil"/>
          <w:left w:val="nil"/>
          <w:bottom w:val="nil"/>
          <w:right w:val="nil"/>
          <w:between w:val="nil"/>
        </w:pBdr>
        <w:spacing w:after="200" w:line="276" w:lineRule="auto"/>
        <w:ind w:left="0" w:hanging="284"/>
        <w:jc w:val="both"/>
        <w:rPr>
          <w:rFonts w:ascii="Arial" w:eastAsia="Arial" w:hAnsi="Arial" w:cs="Arial"/>
          <w:color w:val="002060"/>
          <w:sz w:val="20"/>
          <w:szCs w:val="20"/>
        </w:rPr>
      </w:pPr>
      <w:r>
        <w:rPr>
          <w:rFonts w:ascii="Arial" w:eastAsia="Arial" w:hAnsi="Arial" w:cs="Arial"/>
          <w:color w:val="002060"/>
          <w:sz w:val="20"/>
          <w:szCs w:val="20"/>
        </w:rPr>
        <w:t>Además, la estrategia, se alinea con las políticas agrarias, ambientales y el PEI del Gobierno Regional Huánuco.</w:t>
      </w:r>
    </w:p>
    <w:p w14:paraId="5C6029C4" w14:textId="77777777" w:rsidR="00B50826" w:rsidRDefault="00006AE2">
      <w:pPr>
        <w:spacing w:line="276" w:lineRule="auto"/>
        <w:jc w:val="both"/>
        <w:rPr>
          <w:rFonts w:ascii="Arial" w:eastAsia="Arial" w:hAnsi="Arial" w:cs="Arial"/>
          <w:color w:val="002060"/>
          <w:sz w:val="20"/>
          <w:szCs w:val="20"/>
        </w:rPr>
      </w:pPr>
      <w:r>
        <w:rPr>
          <w:rFonts w:ascii="Arial" w:eastAsia="Arial" w:hAnsi="Arial" w:cs="Arial"/>
          <w:color w:val="002060"/>
          <w:sz w:val="20"/>
          <w:szCs w:val="20"/>
        </w:rPr>
        <w:t>En ese sentido, la Estrategia Regional de Desarrollo Rural Bajo en Emisiones, ha priorizado los lineamientos de políticas, propuestos en el siguiente orden:</w:t>
      </w:r>
    </w:p>
    <w:p w14:paraId="702F2502" w14:textId="77777777" w:rsidR="00D029B1" w:rsidRDefault="00D029B1">
      <w:pPr>
        <w:spacing w:line="276" w:lineRule="auto"/>
        <w:jc w:val="both"/>
        <w:rPr>
          <w:rFonts w:ascii="Arial" w:eastAsia="Arial" w:hAnsi="Arial" w:cs="Arial"/>
          <w:color w:val="002060"/>
          <w:sz w:val="20"/>
          <w:szCs w:val="20"/>
        </w:rPr>
      </w:pPr>
    </w:p>
    <w:p w14:paraId="5BABB1A4" w14:textId="77777777" w:rsidR="00B50826" w:rsidRDefault="00006AE2" w:rsidP="001367B5">
      <w:pPr>
        <w:numPr>
          <w:ilvl w:val="0"/>
          <w:numId w:val="9"/>
        </w:numPr>
        <w:pBdr>
          <w:top w:val="nil"/>
          <w:left w:val="nil"/>
          <w:bottom w:val="nil"/>
          <w:right w:val="nil"/>
          <w:between w:val="nil"/>
        </w:pBdr>
        <w:spacing w:line="276" w:lineRule="auto"/>
        <w:ind w:left="0" w:hanging="426"/>
        <w:jc w:val="both"/>
        <w:rPr>
          <w:rFonts w:ascii="Arial" w:eastAsia="Arial" w:hAnsi="Arial" w:cs="Arial"/>
          <w:color w:val="002060"/>
          <w:sz w:val="20"/>
          <w:szCs w:val="20"/>
        </w:rPr>
      </w:pPr>
      <w:r>
        <w:rPr>
          <w:rFonts w:ascii="Arial" w:eastAsia="Arial" w:hAnsi="Arial" w:cs="Arial"/>
          <w:b/>
          <w:color w:val="002060"/>
          <w:sz w:val="20"/>
          <w:szCs w:val="20"/>
        </w:rPr>
        <w:t>Del Lineamiento de Política 1. Contribuir en el Incremento de la competitividad de las principales cadenas productivas del territorio de manera económica, social y ambientalmente sostenible</w:t>
      </w:r>
      <w:r>
        <w:rPr>
          <w:rFonts w:ascii="Arial" w:eastAsia="Arial" w:hAnsi="Arial" w:cs="Arial"/>
          <w:color w:val="002060"/>
          <w:sz w:val="20"/>
          <w:szCs w:val="20"/>
        </w:rPr>
        <w:t xml:space="preserve">, entre las intervenciones que se alinean a esta política tenemos: Promoción de agricultura sostenible bajo sistemas agroforestales y de bajo costo, Promoción para el desarrollo acuícola sostenible, Promoción en el desarrollo apícola, Fortalecimiento en el manejo empresarial y mejora del acceso a mercados, Ampliación y mejoramiento de las vías de acceso, Construcción de puertos en las comunidades nativas, Identificación y puesta en valor de centros turísticos, Promoción de la </w:t>
      </w:r>
      <w:r>
        <w:rPr>
          <w:rFonts w:ascii="Arial" w:eastAsia="Arial" w:hAnsi="Arial" w:cs="Arial"/>
          <w:color w:val="002060"/>
          <w:sz w:val="20"/>
          <w:szCs w:val="20"/>
        </w:rPr>
        <w:lastRenderedPageBreak/>
        <w:t>diversificación productiva con frutales amazónicos promisorios, Mejoramiento de pastos para el ganado bovino, Mejoramiento genético del ganado, Promoción de la inversión privada para instalación de tres centros de Beneficio de ganado y procesamiento de carne (Puerto Inca, Yuya Pichis y Codo de Pozuzo), Fortalecimiento de organizaciones de productores, para mejorar el acceso a mercados, Mejoramiento de sistemas de riego, con la implementación de sistemas de riego tecnificado, entre otros, los cuales contribuirán a dinamizar la economía de manera sostenible en el ámbito de intervención.</w:t>
      </w:r>
    </w:p>
    <w:p w14:paraId="64CABA6A" w14:textId="77777777" w:rsidR="00BA759C" w:rsidRDefault="00BA759C" w:rsidP="001367B5">
      <w:pPr>
        <w:pBdr>
          <w:top w:val="nil"/>
          <w:left w:val="nil"/>
          <w:bottom w:val="nil"/>
          <w:right w:val="nil"/>
          <w:between w:val="nil"/>
        </w:pBdr>
        <w:spacing w:line="276" w:lineRule="auto"/>
        <w:ind w:hanging="426"/>
        <w:jc w:val="both"/>
        <w:rPr>
          <w:rFonts w:ascii="Arial" w:eastAsia="Arial" w:hAnsi="Arial" w:cs="Arial"/>
          <w:color w:val="002060"/>
          <w:sz w:val="20"/>
          <w:szCs w:val="20"/>
        </w:rPr>
      </w:pPr>
    </w:p>
    <w:p w14:paraId="505E6C8B" w14:textId="77777777" w:rsidR="00B50826" w:rsidRDefault="00006AE2" w:rsidP="001367B5">
      <w:pPr>
        <w:numPr>
          <w:ilvl w:val="0"/>
          <w:numId w:val="9"/>
        </w:numPr>
        <w:pBdr>
          <w:top w:val="nil"/>
          <w:left w:val="nil"/>
          <w:bottom w:val="nil"/>
          <w:right w:val="nil"/>
          <w:between w:val="nil"/>
        </w:pBdr>
        <w:spacing w:line="276" w:lineRule="auto"/>
        <w:ind w:left="0" w:hanging="426"/>
        <w:jc w:val="both"/>
        <w:rPr>
          <w:rFonts w:ascii="Arial" w:eastAsia="Arial" w:hAnsi="Arial" w:cs="Arial"/>
          <w:color w:val="002060"/>
          <w:sz w:val="20"/>
          <w:szCs w:val="20"/>
        </w:rPr>
      </w:pPr>
      <w:r>
        <w:rPr>
          <w:rFonts w:ascii="Arial" w:eastAsia="Arial" w:hAnsi="Arial" w:cs="Arial"/>
          <w:b/>
          <w:color w:val="002060"/>
          <w:sz w:val="20"/>
          <w:szCs w:val="20"/>
        </w:rPr>
        <w:t>Del Lineamiento de Política 2. Promover la plena y armoniosa participación de la población rural, en el aprovechamiento sostenible de los recursos naturales y una adecuada gestión ambiental, respetando las leyes y formas de vida del territorio</w:t>
      </w:r>
      <w:r>
        <w:rPr>
          <w:rFonts w:ascii="Arial" w:eastAsia="Arial" w:hAnsi="Arial" w:cs="Arial"/>
          <w:color w:val="002060"/>
          <w:sz w:val="20"/>
          <w:szCs w:val="20"/>
        </w:rPr>
        <w:t>, entre las estrategias de  intervenciones tenemos: Protección de Ecosistemas frágiles, Restauración ecológica del paisaje, Recuperación de suelos degradados, Promoción de Bionegocios o emprendimientos para mujeres y/o jóvenes, Fortalecimiento a comités de vigilancia ambiental, Reforestación y desarrollo de Sistemas Agroforestales, entre otros, que permitirá una adecuada atención a los bosques y sus formas de vida del territorio de Huánuco</w:t>
      </w:r>
    </w:p>
    <w:p w14:paraId="5176E9E3" w14:textId="77777777" w:rsidR="00D029B1" w:rsidRDefault="00D029B1" w:rsidP="00D029B1">
      <w:pPr>
        <w:pStyle w:val="Prrafodelista"/>
        <w:rPr>
          <w:rFonts w:ascii="Arial" w:eastAsia="Arial" w:hAnsi="Arial" w:cs="Arial"/>
          <w:color w:val="002060"/>
          <w:sz w:val="20"/>
          <w:szCs w:val="20"/>
        </w:rPr>
      </w:pPr>
    </w:p>
    <w:p w14:paraId="59F777B0" w14:textId="77777777" w:rsidR="00B50826" w:rsidRDefault="00006AE2" w:rsidP="001367B5">
      <w:pPr>
        <w:numPr>
          <w:ilvl w:val="0"/>
          <w:numId w:val="9"/>
        </w:numPr>
        <w:pBdr>
          <w:top w:val="nil"/>
          <w:left w:val="nil"/>
          <w:bottom w:val="nil"/>
          <w:right w:val="nil"/>
          <w:between w:val="nil"/>
        </w:pBdr>
        <w:spacing w:line="276" w:lineRule="auto"/>
        <w:ind w:left="0" w:hanging="426"/>
        <w:jc w:val="both"/>
        <w:rPr>
          <w:rFonts w:ascii="Arial" w:eastAsia="Arial" w:hAnsi="Arial" w:cs="Arial"/>
          <w:color w:val="002060"/>
          <w:sz w:val="20"/>
          <w:szCs w:val="20"/>
        </w:rPr>
      </w:pPr>
      <w:r>
        <w:rPr>
          <w:rFonts w:ascii="Arial" w:eastAsia="Arial" w:hAnsi="Arial" w:cs="Arial"/>
          <w:b/>
          <w:color w:val="002060"/>
          <w:sz w:val="20"/>
          <w:szCs w:val="20"/>
        </w:rPr>
        <w:t>Del Lineamiento de Política 3. Promover la gobernanza, integración y modernización de la gestión pública, a fin de otorgar mayor cobertura en el bienestar de la población</w:t>
      </w:r>
      <w:r>
        <w:rPr>
          <w:rFonts w:ascii="Arial" w:eastAsia="Arial" w:hAnsi="Arial" w:cs="Arial"/>
          <w:color w:val="002060"/>
          <w:sz w:val="20"/>
          <w:szCs w:val="20"/>
        </w:rPr>
        <w:t xml:space="preserve">, entre las principales intervenciones alineadas tenemos: Implementación de los Planes de Vida de las CCNN., Saneamiento físico legal de predios, Actualización de estudio de Zonificación Económica y Ecológica – ZEE., Culminación del estudio de Zonificación Forestal – ZF., Facilitación del acceso a créditos, Creación de la Propuesta de Reserva </w:t>
      </w:r>
      <w:proofErr w:type="spellStart"/>
      <w:r>
        <w:rPr>
          <w:rFonts w:ascii="Arial" w:eastAsia="Arial" w:hAnsi="Arial" w:cs="Arial"/>
          <w:color w:val="002060"/>
          <w:sz w:val="20"/>
          <w:szCs w:val="20"/>
        </w:rPr>
        <w:t>Indigena</w:t>
      </w:r>
      <w:proofErr w:type="spellEnd"/>
      <w:r>
        <w:rPr>
          <w:rFonts w:ascii="Arial" w:eastAsia="Arial" w:hAnsi="Arial" w:cs="Arial"/>
          <w:color w:val="002060"/>
          <w:sz w:val="20"/>
          <w:szCs w:val="20"/>
        </w:rPr>
        <w:t xml:space="preserve"> "</w:t>
      </w:r>
      <w:proofErr w:type="spellStart"/>
      <w:r>
        <w:rPr>
          <w:rFonts w:ascii="Arial" w:eastAsia="Arial" w:hAnsi="Arial" w:cs="Arial"/>
          <w:color w:val="002060"/>
          <w:sz w:val="20"/>
          <w:szCs w:val="20"/>
        </w:rPr>
        <w:t>Kakataibo</w:t>
      </w:r>
      <w:proofErr w:type="spellEnd"/>
      <w:r>
        <w:rPr>
          <w:rFonts w:ascii="Arial" w:eastAsia="Arial" w:hAnsi="Arial" w:cs="Arial"/>
          <w:color w:val="002060"/>
          <w:sz w:val="20"/>
          <w:szCs w:val="20"/>
        </w:rPr>
        <w:t xml:space="preserve"> Sur", Fortalecimiento de la Autoridad Regional Forestal y de Fauna Silvestre - ATFFS., entre otras intervenciones que permitirá una mejor atención de las instituciones públicas y privadas a los pueblos rurales de la Amazonia de Huánuco.</w:t>
      </w:r>
    </w:p>
    <w:p w14:paraId="05B78D0F" w14:textId="77777777" w:rsidR="00B50826" w:rsidRDefault="00B50826">
      <w:pPr>
        <w:jc w:val="both"/>
        <w:rPr>
          <w:rFonts w:ascii="Arial" w:eastAsia="Arial" w:hAnsi="Arial" w:cs="Arial"/>
          <w:color w:val="002060"/>
          <w:sz w:val="20"/>
          <w:szCs w:val="20"/>
        </w:rPr>
      </w:pPr>
    </w:p>
    <w:p w14:paraId="6DAB1E10" w14:textId="77777777" w:rsidR="00B50826" w:rsidRDefault="00B50826">
      <w:pPr>
        <w:jc w:val="both"/>
        <w:rPr>
          <w:rFonts w:ascii="Arial" w:eastAsia="Arial" w:hAnsi="Arial" w:cs="Arial"/>
          <w:color w:val="002060"/>
          <w:sz w:val="20"/>
          <w:szCs w:val="20"/>
        </w:rPr>
        <w:sectPr w:rsidR="00B50826">
          <w:footerReference w:type="default" r:id="rId42"/>
          <w:pgSz w:w="11906" w:h="16838"/>
          <w:pgMar w:top="1417" w:right="1701" w:bottom="1417" w:left="1701" w:header="708" w:footer="708" w:gutter="0"/>
          <w:pgNumType w:start="1"/>
          <w:cols w:space="720" w:equalWidth="0">
            <w:col w:w="8838"/>
          </w:cols>
        </w:sectPr>
      </w:pPr>
    </w:p>
    <w:p w14:paraId="58AD2CB2" w14:textId="77777777" w:rsidR="00B50826" w:rsidRDefault="00006AE2">
      <w:pPr>
        <w:pBdr>
          <w:top w:val="nil"/>
          <w:left w:val="nil"/>
          <w:bottom w:val="nil"/>
          <w:right w:val="nil"/>
          <w:between w:val="nil"/>
        </w:pBdr>
        <w:tabs>
          <w:tab w:val="left" w:pos="567"/>
        </w:tabs>
        <w:ind w:left="-567" w:hanging="719"/>
        <w:rPr>
          <w:rFonts w:ascii="Arial" w:eastAsia="Arial" w:hAnsi="Arial" w:cs="Arial"/>
          <w:b/>
          <w:color w:val="002060"/>
        </w:rPr>
      </w:pPr>
      <w:r>
        <w:rPr>
          <w:rFonts w:ascii="Arial" w:eastAsia="Arial" w:hAnsi="Arial" w:cs="Arial"/>
          <w:color w:val="002060"/>
        </w:rPr>
        <w:tab/>
      </w:r>
      <w:r>
        <w:rPr>
          <w:rFonts w:ascii="Arial" w:eastAsia="Arial" w:hAnsi="Arial" w:cs="Arial"/>
          <w:b/>
          <w:color w:val="002060"/>
        </w:rPr>
        <w:tab/>
        <w:t>Resultados esperados.</w:t>
      </w:r>
    </w:p>
    <w:p w14:paraId="06987D43" w14:textId="77777777" w:rsidR="00B50826" w:rsidRDefault="00B50826">
      <w:pPr>
        <w:pBdr>
          <w:top w:val="nil"/>
          <w:left w:val="nil"/>
          <w:bottom w:val="nil"/>
          <w:right w:val="nil"/>
          <w:between w:val="nil"/>
        </w:pBdr>
        <w:ind w:left="-567" w:hanging="207"/>
        <w:jc w:val="center"/>
        <w:rPr>
          <w:rFonts w:ascii="Arial" w:eastAsia="Arial" w:hAnsi="Arial" w:cs="Arial"/>
          <w:b/>
          <w:color w:val="002060"/>
        </w:rPr>
      </w:pPr>
    </w:p>
    <w:p w14:paraId="230A2997" w14:textId="77777777" w:rsidR="00B50826" w:rsidRDefault="00006AE2">
      <w:pPr>
        <w:pBdr>
          <w:top w:val="nil"/>
          <w:left w:val="nil"/>
          <w:bottom w:val="nil"/>
          <w:right w:val="nil"/>
          <w:between w:val="nil"/>
        </w:pBdr>
        <w:ind w:left="-567" w:hanging="207"/>
        <w:jc w:val="center"/>
        <w:rPr>
          <w:rFonts w:ascii="Arial" w:eastAsia="Arial" w:hAnsi="Arial" w:cs="Arial"/>
          <w:b/>
          <w:color w:val="002060"/>
        </w:rPr>
      </w:pPr>
      <w:r>
        <w:rPr>
          <w:rFonts w:ascii="Arial" w:eastAsia="Arial" w:hAnsi="Arial" w:cs="Arial"/>
          <w:b/>
          <w:color w:val="002060"/>
        </w:rPr>
        <w:t xml:space="preserve">Cuadro Nº </w:t>
      </w:r>
      <w:proofErr w:type="gramStart"/>
      <w:r>
        <w:rPr>
          <w:rFonts w:ascii="Arial" w:eastAsia="Arial" w:hAnsi="Arial" w:cs="Arial"/>
          <w:b/>
          <w:color w:val="002060"/>
        </w:rPr>
        <w:t>19 :</w:t>
      </w:r>
      <w:proofErr w:type="gramEnd"/>
      <w:r>
        <w:rPr>
          <w:rFonts w:ascii="Arial" w:eastAsia="Arial" w:hAnsi="Arial" w:cs="Arial"/>
          <w:b/>
          <w:color w:val="002060"/>
        </w:rPr>
        <w:t xml:space="preserve"> Metas de política pública de desarrollo rural en la </w:t>
      </w:r>
      <w:proofErr w:type="spellStart"/>
      <w:r>
        <w:rPr>
          <w:rFonts w:ascii="Arial" w:eastAsia="Arial" w:hAnsi="Arial" w:cs="Arial"/>
          <w:b/>
          <w:color w:val="002060"/>
        </w:rPr>
        <w:t>amazonía</w:t>
      </w:r>
      <w:proofErr w:type="spellEnd"/>
      <w:r>
        <w:rPr>
          <w:rFonts w:ascii="Arial" w:eastAsia="Arial" w:hAnsi="Arial" w:cs="Arial"/>
          <w:b/>
          <w:color w:val="002060"/>
        </w:rPr>
        <w:t>.</w:t>
      </w:r>
    </w:p>
    <w:p w14:paraId="57EA4CD0" w14:textId="77777777" w:rsidR="00B50826" w:rsidRDefault="00B50826">
      <w:pPr>
        <w:pBdr>
          <w:top w:val="nil"/>
          <w:left w:val="nil"/>
          <w:bottom w:val="nil"/>
          <w:right w:val="nil"/>
          <w:between w:val="nil"/>
        </w:pBdr>
        <w:ind w:left="-567" w:hanging="207"/>
        <w:jc w:val="center"/>
        <w:rPr>
          <w:rFonts w:ascii="Arial" w:eastAsia="Arial" w:hAnsi="Arial" w:cs="Arial"/>
          <w:b/>
          <w:color w:val="002060"/>
        </w:rPr>
      </w:pPr>
    </w:p>
    <w:p w14:paraId="5291A1ED" w14:textId="77777777" w:rsidR="00B50826" w:rsidRDefault="00006AE2">
      <w:pPr>
        <w:pBdr>
          <w:top w:val="nil"/>
          <w:left w:val="nil"/>
          <w:bottom w:val="nil"/>
          <w:right w:val="nil"/>
          <w:between w:val="nil"/>
        </w:pBdr>
        <w:ind w:hanging="207"/>
        <w:jc w:val="center"/>
        <w:rPr>
          <w:rFonts w:ascii="Arial" w:eastAsia="Arial" w:hAnsi="Arial" w:cs="Arial"/>
          <w:b/>
          <w:color w:val="002060"/>
        </w:rPr>
      </w:pPr>
      <w:r>
        <w:rPr>
          <w:noProof/>
        </w:rPr>
        <w:drawing>
          <wp:inline distT="0" distB="0" distL="0" distR="0" wp14:anchorId="7F18EC8C" wp14:editId="7A37A321">
            <wp:extent cx="6273800" cy="2613025"/>
            <wp:effectExtent l="0" t="0" r="0" b="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6274093" cy="2613282"/>
                    </a:xfrm>
                    <a:prstGeom prst="rect">
                      <a:avLst/>
                    </a:prstGeom>
                    <a:ln/>
                  </pic:spPr>
                </pic:pic>
              </a:graphicData>
            </a:graphic>
          </wp:inline>
        </w:drawing>
      </w:r>
    </w:p>
    <w:p w14:paraId="37FDDD2F" w14:textId="77777777" w:rsidR="00B50826" w:rsidRDefault="00B50826">
      <w:pPr>
        <w:pBdr>
          <w:top w:val="nil"/>
          <w:left w:val="nil"/>
          <w:bottom w:val="nil"/>
          <w:right w:val="nil"/>
          <w:between w:val="nil"/>
        </w:pBdr>
        <w:ind w:left="-567" w:hanging="207"/>
        <w:jc w:val="center"/>
        <w:rPr>
          <w:rFonts w:ascii="Arial" w:eastAsia="Arial" w:hAnsi="Arial" w:cs="Arial"/>
          <w:b/>
          <w:color w:val="002060"/>
        </w:rPr>
      </w:pPr>
    </w:p>
    <w:p w14:paraId="211B36FB" w14:textId="77777777" w:rsidR="00B50826" w:rsidRDefault="00B50826">
      <w:pPr>
        <w:pBdr>
          <w:top w:val="nil"/>
          <w:left w:val="nil"/>
          <w:bottom w:val="nil"/>
          <w:right w:val="nil"/>
          <w:between w:val="nil"/>
        </w:pBdr>
        <w:rPr>
          <w:rFonts w:ascii="Arial" w:eastAsia="Arial" w:hAnsi="Arial" w:cs="Arial"/>
          <w:b/>
          <w:color w:val="002060"/>
        </w:rPr>
      </w:pPr>
    </w:p>
    <w:p w14:paraId="2C190C08" w14:textId="77777777" w:rsidR="00D029B1" w:rsidRDefault="00D029B1">
      <w:pPr>
        <w:pBdr>
          <w:top w:val="nil"/>
          <w:left w:val="nil"/>
          <w:bottom w:val="nil"/>
          <w:right w:val="nil"/>
          <w:between w:val="nil"/>
        </w:pBdr>
        <w:rPr>
          <w:rFonts w:ascii="Arial" w:eastAsia="Arial" w:hAnsi="Arial" w:cs="Arial"/>
          <w:b/>
          <w:color w:val="002060"/>
        </w:rPr>
      </w:pPr>
    </w:p>
    <w:p w14:paraId="57EF685F" w14:textId="77777777" w:rsidR="00D029B1" w:rsidRDefault="00D029B1">
      <w:pPr>
        <w:pBdr>
          <w:top w:val="nil"/>
          <w:left w:val="nil"/>
          <w:bottom w:val="nil"/>
          <w:right w:val="nil"/>
          <w:between w:val="nil"/>
        </w:pBdr>
        <w:rPr>
          <w:rFonts w:ascii="Arial" w:eastAsia="Arial" w:hAnsi="Arial" w:cs="Arial"/>
          <w:b/>
          <w:color w:val="002060"/>
        </w:rPr>
      </w:pPr>
    </w:p>
    <w:p w14:paraId="1683D9B5" w14:textId="77777777" w:rsidR="00D029B1" w:rsidRDefault="00D029B1">
      <w:pPr>
        <w:pBdr>
          <w:top w:val="nil"/>
          <w:left w:val="nil"/>
          <w:bottom w:val="nil"/>
          <w:right w:val="nil"/>
          <w:between w:val="nil"/>
        </w:pBdr>
        <w:rPr>
          <w:rFonts w:ascii="Arial" w:eastAsia="Arial" w:hAnsi="Arial" w:cs="Arial"/>
          <w:b/>
          <w:color w:val="002060"/>
        </w:rPr>
      </w:pPr>
    </w:p>
    <w:p w14:paraId="5B43BC62" w14:textId="77777777" w:rsidR="00D029B1" w:rsidRDefault="00D029B1">
      <w:pPr>
        <w:pBdr>
          <w:top w:val="nil"/>
          <w:left w:val="nil"/>
          <w:bottom w:val="nil"/>
          <w:right w:val="nil"/>
          <w:between w:val="nil"/>
        </w:pBdr>
        <w:rPr>
          <w:rFonts w:ascii="Arial" w:eastAsia="Arial" w:hAnsi="Arial" w:cs="Arial"/>
          <w:b/>
          <w:color w:val="002060"/>
        </w:rPr>
      </w:pPr>
    </w:p>
    <w:p w14:paraId="509EEE51" w14:textId="77777777" w:rsidR="00D029B1" w:rsidRDefault="00D029B1">
      <w:pPr>
        <w:pBdr>
          <w:top w:val="nil"/>
          <w:left w:val="nil"/>
          <w:bottom w:val="nil"/>
          <w:right w:val="nil"/>
          <w:between w:val="nil"/>
        </w:pBdr>
        <w:rPr>
          <w:rFonts w:ascii="Arial" w:eastAsia="Arial" w:hAnsi="Arial" w:cs="Arial"/>
          <w:b/>
          <w:color w:val="002060"/>
        </w:rPr>
      </w:pPr>
    </w:p>
    <w:p w14:paraId="7C2976C8" w14:textId="77777777" w:rsidR="00B50826" w:rsidRDefault="00006AE2">
      <w:pPr>
        <w:pBdr>
          <w:top w:val="nil"/>
          <w:left w:val="nil"/>
          <w:bottom w:val="nil"/>
          <w:right w:val="nil"/>
          <w:between w:val="nil"/>
        </w:pBdr>
        <w:rPr>
          <w:rFonts w:ascii="Arial" w:eastAsia="Arial" w:hAnsi="Arial" w:cs="Arial"/>
          <w:b/>
          <w:color w:val="002060"/>
        </w:rPr>
      </w:pPr>
      <w:r>
        <w:rPr>
          <w:rFonts w:ascii="Arial" w:eastAsia="Arial" w:hAnsi="Arial" w:cs="Arial"/>
          <w:b/>
          <w:color w:val="002060"/>
        </w:rPr>
        <w:lastRenderedPageBreak/>
        <w:t>Indicadores de productos.</w:t>
      </w:r>
    </w:p>
    <w:p w14:paraId="5DBEE34C" w14:textId="77777777" w:rsidR="00B50826" w:rsidRDefault="00006AE2">
      <w:pPr>
        <w:jc w:val="center"/>
        <w:rPr>
          <w:rFonts w:ascii="Arial" w:eastAsia="Arial" w:hAnsi="Arial" w:cs="Arial"/>
          <w:b/>
          <w:color w:val="002060"/>
        </w:rPr>
      </w:pPr>
      <w:r>
        <w:rPr>
          <w:rFonts w:ascii="Arial" w:eastAsia="Arial" w:hAnsi="Arial" w:cs="Arial"/>
          <w:b/>
          <w:color w:val="002060"/>
        </w:rPr>
        <w:t>Cuadro Nº 20</w:t>
      </w:r>
    </w:p>
    <w:p w14:paraId="7F22B232" w14:textId="77777777" w:rsidR="00B50826" w:rsidRDefault="00B50826">
      <w:pPr>
        <w:pBdr>
          <w:top w:val="nil"/>
          <w:left w:val="nil"/>
          <w:bottom w:val="nil"/>
          <w:right w:val="nil"/>
          <w:between w:val="nil"/>
        </w:pBdr>
        <w:ind w:left="-567" w:hanging="207"/>
        <w:jc w:val="center"/>
        <w:rPr>
          <w:rFonts w:ascii="Arial" w:eastAsia="Arial" w:hAnsi="Arial" w:cs="Arial"/>
          <w:b/>
          <w:color w:val="002060"/>
        </w:rPr>
      </w:pPr>
    </w:p>
    <w:p w14:paraId="711B3554" w14:textId="77777777" w:rsidR="00B50826" w:rsidRDefault="00B50826">
      <w:pPr>
        <w:pBdr>
          <w:top w:val="nil"/>
          <w:left w:val="nil"/>
          <w:bottom w:val="nil"/>
          <w:right w:val="nil"/>
          <w:between w:val="nil"/>
        </w:pBdr>
        <w:ind w:left="-567" w:hanging="207"/>
        <w:jc w:val="center"/>
        <w:rPr>
          <w:rFonts w:ascii="Arial" w:eastAsia="Arial" w:hAnsi="Arial" w:cs="Arial"/>
          <w:b/>
          <w:color w:val="002060"/>
        </w:rPr>
      </w:pPr>
    </w:p>
    <w:p w14:paraId="3BD9B973" w14:textId="77777777" w:rsidR="00B50826" w:rsidRDefault="00006AE2">
      <w:pPr>
        <w:pBdr>
          <w:top w:val="nil"/>
          <w:left w:val="nil"/>
          <w:bottom w:val="nil"/>
          <w:right w:val="nil"/>
          <w:between w:val="nil"/>
        </w:pBdr>
        <w:jc w:val="both"/>
        <w:rPr>
          <w:rFonts w:ascii="Arial" w:eastAsia="Arial" w:hAnsi="Arial" w:cs="Arial"/>
          <w:b/>
          <w:color w:val="002060"/>
          <w:sz w:val="20"/>
          <w:szCs w:val="20"/>
        </w:rPr>
      </w:pPr>
      <w:r>
        <w:rPr>
          <w:rFonts w:ascii="Arial" w:eastAsia="Arial" w:hAnsi="Arial" w:cs="Arial"/>
          <w:b/>
          <w:color w:val="002060"/>
          <w:sz w:val="20"/>
          <w:szCs w:val="20"/>
        </w:rPr>
        <w:t>Objetivo 1: Facilitar el acceso a los servicios públicos de la población rural de la Amazonia, con especial atención a la población vulnerable, parte de una sociedad justa, inclusiva y sin corrupción</w:t>
      </w:r>
    </w:p>
    <w:p w14:paraId="2AAC33D7" w14:textId="77777777" w:rsidR="00B50826" w:rsidRDefault="00B50826">
      <w:pPr>
        <w:pBdr>
          <w:top w:val="nil"/>
          <w:left w:val="nil"/>
          <w:bottom w:val="nil"/>
          <w:right w:val="nil"/>
          <w:between w:val="nil"/>
        </w:pBdr>
        <w:jc w:val="both"/>
        <w:rPr>
          <w:rFonts w:ascii="Arial" w:eastAsia="Arial" w:hAnsi="Arial" w:cs="Arial"/>
          <w:b/>
          <w:color w:val="002060"/>
          <w:sz w:val="20"/>
          <w:szCs w:val="20"/>
        </w:rPr>
      </w:pPr>
    </w:p>
    <w:p w14:paraId="2B4D8863" w14:textId="77777777" w:rsidR="00B50826" w:rsidRDefault="00006AE2">
      <w:pPr>
        <w:pBdr>
          <w:top w:val="nil"/>
          <w:left w:val="nil"/>
          <w:bottom w:val="nil"/>
          <w:right w:val="nil"/>
          <w:between w:val="nil"/>
        </w:pBdr>
        <w:jc w:val="both"/>
        <w:rPr>
          <w:rFonts w:ascii="Arial" w:eastAsia="Arial" w:hAnsi="Arial" w:cs="Arial"/>
          <w:b/>
          <w:color w:val="002060"/>
          <w:sz w:val="20"/>
          <w:szCs w:val="20"/>
        </w:rPr>
      </w:pPr>
      <w:r>
        <w:rPr>
          <w:noProof/>
        </w:rPr>
        <w:drawing>
          <wp:inline distT="0" distB="0" distL="0" distR="0" wp14:anchorId="437A14F6" wp14:editId="3D82F177">
            <wp:extent cx="5844892" cy="3009331"/>
            <wp:effectExtent l="0" t="0" r="3810" b="635"/>
            <wp:docPr id="2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848126" cy="3010996"/>
                    </a:xfrm>
                    <a:prstGeom prst="rect">
                      <a:avLst/>
                    </a:prstGeom>
                    <a:ln/>
                  </pic:spPr>
                </pic:pic>
              </a:graphicData>
            </a:graphic>
          </wp:inline>
        </w:drawing>
      </w:r>
    </w:p>
    <w:p w14:paraId="58760A2A" w14:textId="77777777" w:rsidR="00B50826" w:rsidRDefault="00B50826">
      <w:pPr>
        <w:rPr>
          <w:rFonts w:ascii="Arial" w:eastAsia="Arial" w:hAnsi="Arial" w:cs="Arial"/>
          <w:b/>
          <w:color w:val="002060"/>
        </w:rPr>
      </w:pPr>
    </w:p>
    <w:p w14:paraId="4370E30C" w14:textId="77777777" w:rsidR="00B50826" w:rsidRDefault="00B50826">
      <w:pPr>
        <w:rPr>
          <w:rFonts w:ascii="Arial" w:eastAsia="Arial" w:hAnsi="Arial" w:cs="Arial"/>
          <w:b/>
          <w:color w:val="002060"/>
          <w:sz w:val="20"/>
          <w:szCs w:val="20"/>
        </w:rPr>
      </w:pPr>
    </w:p>
    <w:p w14:paraId="5CC30B84"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Objetivo 2: Incrementar la competitividad, el empleo digno y la innovación para un desarrollo económico bajo en emisiones del ámbito rural Amazónico</w:t>
      </w:r>
    </w:p>
    <w:p w14:paraId="419D9DB8" w14:textId="77777777" w:rsidR="00B50826" w:rsidRDefault="00B50826">
      <w:pPr>
        <w:rPr>
          <w:rFonts w:ascii="Arial" w:eastAsia="Arial" w:hAnsi="Arial" w:cs="Arial"/>
          <w:b/>
          <w:color w:val="002060"/>
          <w:sz w:val="20"/>
          <w:szCs w:val="20"/>
        </w:rPr>
      </w:pPr>
    </w:p>
    <w:p w14:paraId="56B882B8" w14:textId="77777777" w:rsidR="00B50826" w:rsidRDefault="00006AE2">
      <w:pPr>
        <w:rPr>
          <w:rFonts w:ascii="Arial" w:eastAsia="Arial" w:hAnsi="Arial" w:cs="Arial"/>
          <w:b/>
          <w:color w:val="002060"/>
          <w:sz w:val="20"/>
          <w:szCs w:val="20"/>
        </w:rPr>
      </w:pPr>
      <w:r>
        <w:rPr>
          <w:noProof/>
        </w:rPr>
        <w:lastRenderedPageBreak/>
        <w:drawing>
          <wp:inline distT="0" distB="0" distL="0" distR="0" wp14:anchorId="637642BC" wp14:editId="4AEB24B3">
            <wp:extent cx="5612130" cy="5502910"/>
            <wp:effectExtent l="0" t="0" r="0" b="0"/>
            <wp:docPr id="2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5612130" cy="5503344"/>
                    </a:xfrm>
                    <a:prstGeom prst="rect">
                      <a:avLst/>
                    </a:prstGeom>
                    <a:ln/>
                  </pic:spPr>
                </pic:pic>
              </a:graphicData>
            </a:graphic>
          </wp:inline>
        </w:drawing>
      </w:r>
    </w:p>
    <w:p w14:paraId="7F7BB5BD" w14:textId="77777777" w:rsidR="00B50826" w:rsidRDefault="00B50826">
      <w:pPr>
        <w:rPr>
          <w:rFonts w:ascii="Arial" w:eastAsia="Arial" w:hAnsi="Arial" w:cs="Arial"/>
          <w:b/>
          <w:color w:val="002060"/>
          <w:sz w:val="20"/>
          <w:szCs w:val="20"/>
        </w:rPr>
      </w:pPr>
    </w:p>
    <w:p w14:paraId="47F81F40" w14:textId="77777777" w:rsidR="00842BE6" w:rsidRDefault="00842BE6">
      <w:pPr>
        <w:jc w:val="both"/>
        <w:rPr>
          <w:rFonts w:ascii="Arial" w:eastAsia="Arial" w:hAnsi="Arial" w:cs="Arial"/>
          <w:b/>
          <w:color w:val="002060"/>
          <w:sz w:val="20"/>
          <w:szCs w:val="20"/>
        </w:rPr>
      </w:pPr>
    </w:p>
    <w:p w14:paraId="14D3C361"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Objetivo 3: Asegurar una gestión sostenible de los bosques amazónicos de Huánuco adoptando medidas frente al cambio climático.</w:t>
      </w:r>
    </w:p>
    <w:p w14:paraId="1AFB0DA6" w14:textId="77777777" w:rsidR="00B50826" w:rsidRDefault="00B50826">
      <w:pPr>
        <w:jc w:val="both"/>
        <w:rPr>
          <w:rFonts w:ascii="Arial" w:eastAsia="Arial" w:hAnsi="Arial" w:cs="Arial"/>
          <w:b/>
          <w:color w:val="002060"/>
          <w:sz w:val="20"/>
          <w:szCs w:val="20"/>
        </w:rPr>
      </w:pPr>
    </w:p>
    <w:p w14:paraId="2C474FA1" w14:textId="77777777" w:rsidR="00B50826" w:rsidRDefault="00006AE2">
      <w:pPr>
        <w:jc w:val="both"/>
        <w:rPr>
          <w:rFonts w:ascii="Arial" w:eastAsia="Arial" w:hAnsi="Arial" w:cs="Arial"/>
          <w:b/>
          <w:color w:val="002060"/>
          <w:sz w:val="20"/>
          <w:szCs w:val="20"/>
        </w:rPr>
      </w:pPr>
      <w:r>
        <w:rPr>
          <w:noProof/>
        </w:rPr>
        <w:drawing>
          <wp:inline distT="0" distB="0" distL="0" distR="0" wp14:anchorId="39EBD147" wp14:editId="26C85A00">
            <wp:extent cx="5610767" cy="1460310"/>
            <wp:effectExtent l="0" t="0" r="0" b="6985"/>
            <wp:docPr id="2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620683" cy="1462891"/>
                    </a:xfrm>
                    <a:prstGeom prst="rect">
                      <a:avLst/>
                    </a:prstGeom>
                    <a:ln/>
                  </pic:spPr>
                </pic:pic>
              </a:graphicData>
            </a:graphic>
          </wp:inline>
        </w:drawing>
      </w:r>
    </w:p>
    <w:p w14:paraId="46C6A16A" w14:textId="77777777" w:rsidR="00D029B1" w:rsidRDefault="00D029B1" w:rsidP="00D029B1">
      <w:pPr>
        <w:pBdr>
          <w:top w:val="nil"/>
          <w:left w:val="nil"/>
          <w:bottom w:val="nil"/>
          <w:right w:val="nil"/>
          <w:between w:val="nil"/>
        </w:pBdr>
        <w:rPr>
          <w:rFonts w:ascii="Arial" w:eastAsia="Arial" w:hAnsi="Arial" w:cs="Arial"/>
          <w:b/>
          <w:color w:val="002060"/>
        </w:rPr>
      </w:pPr>
    </w:p>
    <w:p w14:paraId="4D2B35C0" w14:textId="77777777" w:rsidR="00D029B1" w:rsidRDefault="00D029B1" w:rsidP="00D029B1">
      <w:pPr>
        <w:pBdr>
          <w:top w:val="nil"/>
          <w:left w:val="nil"/>
          <w:bottom w:val="nil"/>
          <w:right w:val="nil"/>
          <w:between w:val="nil"/>
        </w:pBdr>
        <w:rPr>
          <w:rFonts w:ascii="Arial" w:eastAsia="Arial" w:hAnsi="Arial" w:cs="Arial"/>
          <w:b/>
          <w:color w:val="002060"/>
        </w:rPr>
      </w:pPr>
    </w:p>
    <w:p w14:paraId="0DB9E337" w14:textId="77777777" w:rsidR="00D029B1" w:rsidRDefault="00D029B1" w:rsidP="00D029B1">
      <w:pPr>
        <w:pBdr>
          <w:top w:val="nil"/>
          <w:left w:val="nil"/>
          <w:bottom w:val="nil"/>
          <w:right w:val="nil"/>
          <w:between w:val="nil"/>
        </w:pBdr>
        <w:rPr>
          <w:rFonts w:ascii="Arial" w:eastAsia="Arial" w:hAnsi="Arial" w:cs="Arial"/>
          <w:b/>
          <w:color w:val="002060"/>
        </w:rPr>
      </w:pPr>
    </w:p>
    <w:p w14:paraId="2F4E6E01" w14:textId="77777777" w:rsidR="00D029B1" w:rsidRDefault="00D029B1" w:rsidP="00D029B1">
      <w:pPr>
        <w:pBdr>
          <w:top w:val="nil"/>
          <w:left w:val="nil"/>
          <w:bottom w:val="nil"/>
          <w:right w:val="nil"/>
          <w:between w:val="nil"/>
        </w:pBdr>
        <w:rPr>
          <w:rFonts w:ascii="Arial" w:eastAsia="Arial" w:hAnsi="Arial" w:cs="Arial"/>
          <w:b/>
          <w:color w:val="002060"/>
        </w:rPr>
      </w:pPr>
    </w:p>
    <w:p w14:paraId="6EDED89A"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lastRenderedPageBreak/>
        <w:t>Teoría del cambio.</w:t>
      </w:r>
    </w:p>
    <w:p w14:paraId="76288DA5" w14:textId="77777777" w:rsidR="00B50826" w:rsidRDefault="00B50826">
      <w:pPr>
        <w:pBdr>
          <w:top w:val="nil"/>
          <w:left w:val="nil"/>
          <w:bottom w:val="nil"/>
          <w:right w:val="nil"/>
          <w:between w:val="nil"/>
        </w:pBdr>
        <w:ind w:left="-567"/>
        <w:jc w:val="both"/>
        <w:rPr>
          <w:rFonts w:ascii="Arial" w:eastAsia="Arial" w:hAnsi="Arial" w:cs="Arial"/>
          <w:color w:val="002060"/>
          <w:sz w:val="20"/>
          <w:szCs w:val="20"/>
        </w:rPr>
      </w:pPr>
    </w:p>
    <w:p w14:paraId="0CCEDCF8" w14:textId="77777777" w:rsidR="00B50826" w:rsidRDefault="00006AE2" w:rsidP="001367B5">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 xml:space="preserve">Esta estrategia se enmarca dentro de la visión país al 2050, planteándose como fin: “Al 2030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xml:space="preserve"> de la región Huánuco ha logrado un desarrollo rural sostenible, competitivo, integrado y moderno; bajo un enfoque de producción, protección e inclusión de poblaciones rurales y comunidades nativas, con alta gobernanza y valoración de los ecosistemas forestales, reduciendo significativamente el proceso de deforestación en 80 % y los efectos del GEI", para lograr esta visión se platean los siguientes objetivos, los mismos que convergen con los ejes estratégicos nacionales.</w:t>
      </w:r>
    </w:p>
    <w:p w14:paraId="76FFCA77" w14:textId="77777777" w:rsidR="00B50826" w:rsidRDefault="00B50826" w:rsidP="001367B5">
      <w:pPr>
        <w:pBdr>
          <w:top w:val="nil"/>
          <w:left w:val="nil"/>
          <w:bottom w:val="nil"/>
          <w:right w:val="nil"/>
          <w:between w:val="nil"/>
        </w:pBdr>
        <w:ind w:left="643"/>
        <w:jc w:val="both"/>
        <w:rPr>
          <w:rFonts w:ascii="Arial" w:eastAsia="Arial" w:hAnsi="Arial" w:cs="Arial"/>
          <w:color w:val="002060"/>
          <w:sz w:val="20"/>
          <w:szCs w:val="20"/>
        </w:rPr>
      </w:pPr>
    </w:p>
    <w:p w14:paraId="4E073629" w14:textId="77777777" w:rsidR="00B50826" w:rsidRDefault="00006AE2" w:rsidP="001367B5">
      <w:pPr>
        <w:numPr>
          <w:ilvl w:val="0"/>
          <w:numId w:val="10"/>
        </w:numPr>
        <w:pBdr>
          <w:top w:val="nil"/>
          <w:left w:val="nil"/>
          <w:bottom w:val="nil"/>
          <w:right w:val="nil"/>
          <w:between w:val="nil"/>
        </w:pBdr>
        <w:ind w:left="0" w:hanging="283"/>
        <w:jc w:val="both"/>
        <w:rPr>
          <w:rFonts w:ascii="Arial" w:eastAsia="Arial" w:hAnsi="Arial" w:cs="Arial"/>
          <w:color w:val="002060"/>
          <w:sz w:val="20"/>
          <w:szCs w:val="20"/>
        </w:rPr>
      </w:pPr>
      <w:r>
        <w:rPr>
          <w:rFonts w:ascii="Arial" w:eastAsia="Arial" w:hAnsi="Arial" w:cs="Arial"/>
          <w:color w:val="002060"/>
          <w:sz w:val="20"/>
          <w:szCs w:val="20"/>
        </w:rPr>
        <w:t xml:space="preserve">Facilitar el acceso a los servicios públicos de la población rural de la </w:t>
      </w:r>
      <w:proofErr w:type="spellStart"/>
      <w:r>
        <w:rPr>
          <w:rFonts w:ascii="Arial" w:eastAsia="Arial" w:hAnsi="Arial" w:cs="Arial"/>
          <w:color w:val="002060"/>
          <w:sz w:val="20"/>
          <w:szCs w:val="20"/>
        </w:rPr>
        <w:t>amazonía</w:t>
      </w:r>
      <w:proofErr w:type="spellEnd"/>
      <w:r>
        <w:rPr>
          <w:rFonts w:ascii="Arial" w:eastAsia="Arial" w:hAnsi="Arial" w:cs="Arial"/>
          <w:color w:val="002060"/>
          <w:sz w:val="20"/>
          <w:szCs w:val="20"/>
        </w:rPr>
        <w:t>, con especial atención a la población vulnerable, parte de una sociedad justa, inclusiva y sin corrupción.</w:t>
      </w:r>
    </w:p>
    <w:p w14:paraId="05B59159" w14:textId="77777777" w:rsidR="00B50826" w:rsidRDefault="00006AE2" w:rsidP="001367B5">
      <w:pPr>
        <w:numPr>
          <w:ilvl w:val="0"/>
          <w:numId w:val="10"/>
        </w:numPr>
        <w:pBdr>
          <w:top w:val="nil"/>
          <w:left w:val="nil"/>
          <w:bottom w:val="nil"/>
          <w:right w:val="nil"/>
          <w:between w:val="nil"/>
        </w:pBdr>
        <w:ind w:left="0" w:hanging="283"/>
        <w:jc w:val="both"/>
        <w:rPr>
          <w:rFonts w:ascii="Arial" w:eastAsia="Arial" w:hAnsi="Arial" w:cs="Arial"/>
          <w:color w:val="002060"/>
          <w:sz w:val="20"/>
          <w:szCs w:val="20"/>
        </w:rPr>
      </w:pPr>
      <w:r>
        <w:rPr>
          <w:rFonts w:ascii="Arial" w:eastAsia="Arial" w:hAnsi="Arial" w:cs="Arial"/>
          <w:color w:val="002060"/>
          <w:sz w:val="20"/>
          <w:szCs w:val="20"/>
        </w:rPr>
        <w:t>Incrementar la competitividad, el empleo digno y la innovación para un desarrollo económico bajo en emisiones del ámbito rural amazónico.</w:t>
      </w:r>
    </w:p>
    <w:p w14:paraId="2195BDA1" w14:textId="77777777" w:rsidR="00B50826" w:rsidRDefault="00006AE2" w:rsidP="001367B5">
      <w:pPr>
        <w:numPr>
          <w:ilvl w:val="0"/>
          <w:numId w:val="10"/>
        </w:numPr>
        <w:pBdr>
          <w:top w:val="nil"/>
          <w:left w:val="nil"/>
          <w:bottom w:val="nil"/>
          <w:right w:val="nil"/>
          <w:between w:val="nil"/>
        </w:pBdr>
        <w:ind w:left="0" w:hanging="283"/>
        <w:jc w:val="both"/>
        <w:rPr>
          <w:rFonts w:ascii="Arial" w:eastAsia="Arial" w:hAnsi="Arial" w:cs="Arial"/>
          <w:color w:val="002060"/>
          <w:sz w:val="20"/>
          <w:szCs w:val="20"/>
        </w:rPr>
      </w:pPr>
      <w:r>
        <w:rPr>
          <w:rFonts w:ascii="Arial" w:eastAsia="Arial" w:hAnsi="Arial" w:cs="Arial"/>
          <w:color w:val="002060"/>
          <w:sz w:val="20"/>
          <w:szCs w:val="20"/>
        </w:rPr>
        <w:t>Asegurar una gestión sostenible de los bosques amazónicos, adoptando medidas frente al cambio climático.</w:t>
      </w:r>
    </w:p>
    <w:p w14:paraId="0898891B" w14:textId="77777777" w:rsidR="00B50826" w:rsidRDefault="00B50826">
      <w:pPr>
        <w:pBdr>
          <w:top w:val="nil"/>
          <w:left w:val="nil"/>
          <w:bottom w:val="nil"/>
          <w:right w:val="nil"/>
          <w:between w:val="nil"/>
        </w:pBdr>
        <w:ind w:left="-567" w:hanging="719"/>
        <w:jc w:val="both"/>
        <w:rPr>
          <w:rFonts w:ascii="Arial" w:eastAsia="Arial" w:hAnsi="Arial" w:cs="Arial"/>
          <w:color w:val="002060"/>
          <w:sz w:val="20"/>
          <w:szCs w:val="20"/>
          <w:highlight w:val="yellow"/>
        </w:rPr>
      </w:pPr>
    </w:p>
    <w:p w14:paraId="5ED08C73" w14:textId="77777777" w:rsidR="00B50826" w:rsidRDefault="00B50826">
      <w:pPr>
        <w:pBdr>
          <w:top w:val="nil"/>
          <w:left w:val="nil"/>
          <w:bottom w:val="nil"/>
          <w:right w:val="nil"/>
          <w:between w:val="nil"/>
        </w:pBdr>
        <w:ind w:left="-567" w:hanging="719"/>
        <w:jc w:val="both"/>
        <w:rPr>
          <w:rFonts w:ascii="Arial" w:eastAsia="Arial" w:hAnsi="Arial" w:cs="Arial"/>
          <w:color w:val="002060"/>
          <w:sz w:val="20"/>
          <w:szCs w:val="20"/>
          <w:highlight w:val="yellow"/>
        </w:rPr>
      </w:pPr>
    </w:p>
    <w:p w14:paraId="01A90819" w14:textId="77777777" w:rsidR="00B50826" w:rsidRDefault="00006AE2" w:rsidP="00BA759C">
      <w:pPr>
        <w:pBdr>
          <w:top w:val="nil"/>
          <w:left w:val="nil"/>
          <w:bottom w:val="nil"/>
          <w:right w:val="nil"/>
          <w:between w:val="nil"/>
        </w:pBdr>
        <w:rPr>
          <w:rFonts w:ascii="Arial" w:eastAsia="Arial" w:hAnsi="Arial" w:cs="Arial"/>
          <w:b/>
          <w:color w:val="002060"/>
          <w:highlight w:val="yellow"/>
        </w:rPr>
      </w:pPr>
      <w:r>
        <w:rPr>
          <w:rFonts w:ascii="Arial" w:eastAsia="Arial" w:hAnsi="Arial" w:cs="Arial"/>
          <w:b/>
          <w:color w:val="002060"/>
          <w:highlight w:val="yellow"/>
        </w:rPr>
        <w:t>Estrategia de Desarrollo Rural Bajo en Emisiones.</w:t>
      </w:r>
    </w:p>
    <w:p w14:paraId="4CA86546" w14:textId="77777777" w:rsidR="00B50826" w:rsidRDefault="00B50826">
      <w:pPr>
        <w:pBdr>
          <w:top w:val="nil"/>
          <w:left w:val="nil"/>
          <w:bottom w:val="nil"/>
          <w:right w:val="nil"/>
          <w:between w:val="nil"/>
        </w:pBdr>
        <w:ind w:left="-567" w:hanging="719"/>
        <w:rPr>
          <w:rFonts w:ascii="Arial" w:eastAsia="Arial" w:hAnsi="Arial" w:cs="Arial"/>
          <w:b/>
          <w:color w:val="002060"/>
          <w:highlight w:val="yellow"/>
        </w:rPr>
      </w:pPr>
    </w:p>
    <w:p w14:paraId="7341FF20" w14:textId="77777777" w:rsidR="00B50826" w:rsidRDefault="00006AE2">
      <w:pPr>
        <w:pBdr>
          <w:top w:val="nil"/>
          <w:left w:val="nil"/>
          <w:bottom w:val="nil"/>
          <w:right w:val="nil"/>
          <w:between w:val="nil"/>
        </w:pBdr>
        <w:rPr>
          <w:rFonts w:ascii="Arial" w:eastAsia="Arial" w:hAnsi="Arial" w:cs="Arial"/>
          <w:b/>
          <w:color w:val="002060"/>
          <w:highlight w:val="yellow"/>
        </w:rPr>
      </w:pPr>
      <w:r>
        <w:rPr>
          <w:rFonts w:ascii="Arial" w:eastAsia="Arial" w:hAnsi="Arial" w:cs="Arial"/>
          <w:b/>
          <w:color w:val="002060"/>
          <w:highlight w:val="yellow"/>
        </w:rPr>
        <w:t xml:space="preserve">Intervenciones por grupos de actores o unidades socioeconómicas: descripción de instrumentos de política. </w:t>
      </w:r>
    </w:p>
    <w:p w14:paraId="45E56BFB" w14:textId="77777777" w:rsidR="00B50826" w:rsidRDefault="00B50826">
      <w:pPr>
        <w:rPr>
          <w:rFonts w:ascii="Arial" w:eastAsia="Arial" w:hAnsi="Arial" w:cs="Arial"/>
          <w:b/>
          <w:color w:val="002060"/>
        </w:rPr>
      </w:pPr>
    </w:p>
    <w:p w14:paraId="0D6C51AE" w14:textId="77777777" w:rsidR="00B50826" w:rsidRDefault="00B50826">
      <w:pPr>
        <w:rPr>
          <w:rFonts w:ascii="Arial" w:eastAsia="Arial" w:hAnsi="Arial" w:cs="Arial"/>
          <w:b/>
          <w:color w:val="002060"/>
        </w:rPr>
      </w:pPr>
    </w:p>
    <w:p w14:paraId="0F863D5B"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t>Gobernanza para la Implementación.</w:t>
      </w:r>
    </w:p>
    <w:p w14:paraId="2BEC87EE" w14:textId="77777777" w:rsidR="00B50826" w:rsidRDefault="00B50826">
      <w:pPr>
        <w:pBdr>
          <w:top w:val="nil"/>
          <w:left w:val="nil"/>
          <w:bottom w:val="nil"/>
          <w:right w:val="nil"/>
          <w:between w:val="nil"/>
        </w:pBdr>
        <w:ind w:hanging="720"/>
        <w:rPr>
          <w:rFonts w:ascii="Arial" w:eastAsia="Arial" w:hAnsi="Arial" w:cs="Arial"/>
          <w:b/>
          <w:color w:val="002060"/>
        </w:rPr>
      </w:pPr>
    </w:p>
    <w:p w14:paraId="2C276DF5"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Las estrategias de intervención planteadas se sustentan en políticas, planes estratégicos y operativos de cada sector involucrado, las cuales deben asegurar la gobernanza, que converja en la articulación de políticas sectoriales, normas, procedimientos, herramientas e información; de tal manera que sea posible la participación efectiva e integrada de Actores Claves, tanto del sector público  y privado, en la toma de decisiones, manejo de conflictos y construcción de consensos, sobre la base de responsabilidades claramente definidas.</w:t>
      </w:r>
    </w:p>
    <w:p w14:paraId="7FB22831" w14:textId="77777777" w:rsidR="00B50826" w:rsidRDefault="00B50826">
      <w:pPr>
        <w:jc w:val="both"/>
        <w:rPr>
          <w:rFonts w:ascii="Arial" w:eastAsia="Arial" w:hAnsi="Arial" w:cs="Arial"/>
          <w:color w:val="002060"/>
          <w:sz w:val="20"/>
          <w:szCs w:val="20"/>
        </w:rPr>
      </w:pPr>
    </w:p>
    <w:p w14:paraId="70BCD7FC"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Esta estrategia, en el marco de la gobernanza para su implementación, prioriza la Política Nacional de Modernización de la Gestión Pública, Eje Transversal alineado a la Articulación Intergubernamental e Intersectorial, donde se van planificar y ejecutar acciones de manera articulada, tanto a nivel de los sectores, de los sistemas administrativos como entre los diferentes niveles de gobierno.</w:t>
      </w:r>
    </w:p>
    <w:p w14:paraId="17B6C5E0" w14:textId="77777777" w:rsidR="00B50826" w:rsidRDefault="00B50826">
      <w:pPr>
        <w:jc w:val="both"/>
        <w:rPr>
          <w:rFonts w:ascii="Arial" w:eastAsia="Arial" w:hAnsi="Arial" w:cs="Arial"/>
          <w:color w:val="002060"/>
          <w:sz w:val="20"/>
          <w:szCs w:val="20"/>
        </w:rPr>
      </w:pPr>
    </w:p>
    <w:p w14:paraId="59D1E86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mérito a ello, y dentro de la articulación de gobiernos, la Estrategia Regional de Desarrollo Rural Bajo en Emisiones, se ubica dentro de las políticas regionales, que articulan con el Plan de Desarrollo Regional Concertado, y alineada al Plan Estratégico de Desarrollo Nacional como también a los planes sectoriales involucrados.</w:t>
      </w:r>
    </w:p>
    <w:p w14:paraId="64CEBDCB" w14:textId="77777777" w:rsidR="00B50826" w:rsidRDefault="00B50826">
      <w:pPr>
        <w:jc w:val="both"/>
        <w:rPr>
          <w:rFonts w:ascii="Arial" w:eastAsia="Arial" w:hAnsi="Arial" w:cs="Arial"/>
          <w:color w:val="002060"/>
          <w:sz w:val="20"/>
          <w:szCs w:val="20"/>
        </w:rPr>
      </w:pPr>
    </w:p>
    <w:p w14:paraId="6A53FBEC"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Del mismo modo, se alinea con los Planes de Desarrollo Local Concertado de las Provincias y Distritos; y a Nivel Institucional, con el Plan Estratégico Institucional de las instituciones públicas como parte de una planificación estratégica para la Mejora Continua.</w:t>
      </w:r>
    </w:p>
    <w:p w14:paraId="32F46B25" w14:textId="77777777" w:rsidR="00B50826" w:rsidRDefault="00B50826">
      <w:pPr>
        <w:jc w:val="both"/>
        <w:rPr>
          <w:rFonts w:ascii="Arial" w:eastAsia="Arial" w:hAnsi="Arial" w:cs="Arial"/>
          <w:color w:val="002060"/>
          <w:sz w:val="20"/>
          <w:szCs w:val="20"/>
        </w:rPr>
      </w:pPr>
    </w:p>
    <w:p w14:paraId="65BF3F2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este contexto, se considera que la Gerencia Regional de Recursos Naturales y Gestión Ambiental y la Gerencia Regional de Desarrollo Económico del Gobierno Regional Huánuco, asumen el compromiso y cumplimiento de la Estrategia Rural Bajo en Emisiones – ERDRBE.</w:t>
      </w:r>
    </w:p>
    <w:p w14:paraId="74E7D89F" w14:textId="77777777" w:rsidR="00B50826" w:rsidRDefault="00B50826">
      <w:pPr>
        <w:jc w:val="center"/>
        <w:rPr>
          <w:rFonts w:ascii="Arial" w:eastAsia="Arial" w:hAnsi="Arial" w:cs="Arial"/>
          <w:b/>
          <w:color w:val="002060"/>
        </w:rPr>
      </w:pPr>
    </w:p>
    <w:p w14:paraId="7D6E30D6" w14:textId="77777777" w:rsidR="00B50826" w:rsidRDefault="00B50826">
      <w:pPr>
        <w:jc w:val="center"/>
        <w:rPr>
          <w:rFonts w:ascii="Arial" w:eastAsia="Arial" w:hAnsi="Arial" w:cs="Arial"/>
          <w:b/>
          <w:color w:val="002060"/>
        </w:rPr>
      </w:pPr>
    </w:p>
    <w:p w14:paraId="0754834C" w14:textId="77777777" w:rsidR="001367B5" w:rsidRDefault="001367B5">
      <w:pPr>
        <w:jc w:val="center"/>
        <w:rPr>
          <w:rFonts w:ascii="Arial" w:eastAsia="Arial" w:hAnsi="Arial" w:cs="Arial"/>
          <w:b/>
          <w:color w:val="002060"/>
        </w:rPr>
      </w:pPr>
    </w:p>
    <w:p w14:paraId="503DB055" w14:textId="77777777" w:rsidR="001367B5" w:rsidRDefault="001367B5">
      <w:pPr>
        <w:jc w:val="center"/>
        <w:rPr>
          <w:rFonts w:ascii="Arial" w:eastAsia="Arial" w:hAnsi="Arial" w:cs="Arial"/>
          <w:b/>
          <w:color w:val="002060"/>
        </w:rPr>
      </w:pPr>
    </w:p>
    <w:p w14:paraId="69A28FC8" w14:textId="77777777" w:rsidR="00B50826" w:rsidRDefault="00B50826">
      <w:pPr>
        <w:jc w:val="center"/>
        <w:rPr>
          <w:rFonts w:ascii="Arial" w:eastAsia="Arial" w:hAnsi="Arial" w:cs="Arial"/>
          <w:b/>
          <w:color w:val="002060"/>
        </w:rPr>
      </w:pPr>
    </w:p>
    <w:p w14:paraId="1C72E2DF" w14:textId="77777777" w:rsidR="00B50826" w:rsidRDefault="00006AE2">
      <w:pPr>
        <w:jc w:val="center"/>
        <w:rPr>
          <w:rFonts w:ascii="Arial" w:eastAsia="Arial" w:hAnsi="Arial" w:cs="Arial"/>
          <w:b/>
          <w:color w:val="002060"/>
        </w:rPr>
      </w:pPr>
      <w:r>
        <w:rPr>
          <w:rFonts w:ascii="Arial" w:eastAsia="Arial" w:hAnsi="Arial" w:cs="Arial"/>
          <w:b/>
          <w:color w:val="002060"/>
        </w:rPr>
        <w:lastRenderedPageBreak/>
        <w:t>CUADRO Nº 21</w:t>
      </w:r>
    </w:p>
    <w:p w14:paraId="7E76381C" w14:textId="77777777" w:rsidR="00B50826" w:rsidRDefault="00B50826">
      <w:pPr>
        <w:rPr>
          <w:rFonts w:ascii="Arial" w:eastAsia="Arial" w:hAnsi="Arial" w:cs="Arial"/>
          <w:b/>
          <w:color w:val="002060"/>
        </w:rPr>
      </w:pPr>
    </w:p>
    <w:p w14:paraId="185385BB" w14:textId="77777777" w:rsidR="00B50826" w:rsidRDefault="00006AE2">
      <w:pPr>
        <w:pBdr>
          <w:top w:val="nil"/>
          <w:left w:val="nil"/>
          <w:bottom w:val="nil"/>
          <w:right w:val="nil"/>
          <w:between w:val="nil"/>
        </w:pBdr>
        <w:ind w:left="1984" w:hanging="1984"/>
        <w:rPr>
          <w:rFonts w:ascii="Arial" w:eastAsia="Arial" w:hAnsi="Arial" w:cs="Arial"/>
          <w:b/>
          <w:color w:val="002060"/>
        </w:rPr>
      </w:pPr>
      <w:r>
        <w:rPr>
          <w:noProof/>
        </w:rPr>
        <w:drawing>
          <wp:inline distT="0" distB="0" distL="0" distR="0" wp14:anchorId="6F31773B" wp14:editId="57B80C57">
            <wp:extent cx="6339840" cy="3678555"/>
            <wp:effectExtent l="0" t="0" r="0" b="0"/>
            <wp:docPr id="2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7"/>
                    <a:srcRect/>
                    <a:stretch>
                      <a:fillRect/>
                    </a:stretch>
                  </pic:blipFill>
                  <pic:spPr>
                    <a:xfrm>
                      <a:off x="0" y="0"/>
                      <a:ext cx="6340024" cy="3679188"/>
                    </a:xfrm>
                    <a:prstGeom prst="rect">
                      <a:avLst/>
                    </a:prstGeom>
                    <a:ln/>
                  </pic:spPr>
                </pic:pic>
              </a:graphicData>
            </a:graphic>
          </wp:inline>
        </w:drawing>
      </w:r>
    </w:p>
    <w:p w14:paraId="573E1EA4" w14:textId="77777777" w:rsidR="00B50826" w:rsidRDefault="00B50826">
      <w:pPr>
        <w:pBdr>
          <w:top w:val="nil"/>
          <w:left w:val="nil"/>
          <w:bottom w:val="nil"/>
          <w:right w:val="nil"/>
          <w:between w:val="nil"/>
        </w:pBdr>
        <w:ind w:left="1275" w:hanging="1984"/>
        <w:rPr>
          <w:rFonts w:ascii="Arial" w:eastAsia="Arial" w:hAnsi="Arial" w:cs="Arial"/>
          <w:b/>
          <w:color w:val="002060"/>
        </w:rPr>
      </w:pPr>
    </w:p>
    <w:p w14:paraId="052A4CE7" w14:textId="77777777" w:rsidR="00B50826" w:rsidRDefault="00B50826">
      <w:pPr>
        <w:pBdr>
          <w:top w:val="nil"/>
          <w:left w:val="nil"/>
          <w:bottom w:val="nil"/>
          <w:right w:val="nil"/>
          <w:between w:val="nil"/>
        </w:pBdr>
        <w:ind w:left="1275" w:hanging="1984"/>
        <w:rPr>
          <w:rFonts w:ascii="Arial" w:eastAsia="Arial" w:hAnsi="Arial" w:cs="Arial"/>
          <w:b/>
          <w:color w:val="002060"/>
        </w:rPr>
      </w:pPr>
    </w:p>
    <w:p w14:paraId="42D4ECCB" w14:textId="77777777" w:rsidR="00B50826" w:rsidRDefault="00006AE2">
      <w:pPr>
        <w:jc w:val="center"/>
        <w:rPr>
          <w:rFonts w:ascii="Arial" w:eastAsia="Arial" w:hAnsi="Arial" w:cs="Arial"/>
          <w:b/>
          <w:color w:val="002060"/>
        </w:rPr>
      </w:pPr>
      <w:r>
        <w:rPr>
          <w:rFonts w:ascii="Arial" w:eastAsia="Arial" w:hAnsi="Arial" w:cs="Arial"/>
          <w:b/>
          <w:color w:val="002060"/>
        </w:rPr>
        <w:t xml:space="preserve">CUADRO Nº 22 </w:t>
      </w:r>
      <w:r>
        <w:rPr>
          <w:noProof/>
        </w:rPr>
        <w:drawing>
          <wp:inline distT="0" distB="0" distL="0" distR="0" wp14:anchorId="4ABE53D3" wp14:editId="02A2A6EA">
            <wp:extent cx="6301740" cy="3303905"/>
            <wp:effectExtent l="0" t="0" r="0" b="0"/>
            <wp:docPr id="2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6302368" cy="3304423"/>
                    </a:xfrm>
                    <a:prstGeom prst="rect">
                      <a:avLst/>
                    </a:prstGeom>
                    <a:ln/>
                  </pic:spPr>
                </pic:pic>
              </a:graphicData>
            </a:graphic>
          </wp:inline>
        </w:drawing>
      </w:r>
    </w:p>
    <w:p w14:paraId="7D8D0E65" w14:textId="77777777" w:rsidR="00B50826" w:rsidRDefault="00B50826">
      <w:pPr>
        <w:pBdr>
          <w:top w:val="nil"/>
          <w:left w:val="nil"/>
          <w:bottom w:val="nil"/>
          <w:right w:val="nil"/>
          <w:between w:val="nil"/>
        </w:pBdr>
        <w:ind w:left="-567" w:hanging="567"/>
        <w:rPr>
          <w:rFonts w:ascii="Arial" w:eastAsia="Arial" w:hAnsi="Arial" w:cs="Arial"/>
          <w:b/>
          <w:color w:val="002060"/>
        </w:rPr>
        <w:sectPr w:rsidR="00B50826">
          <w:type w:val="continuous"/>
          <w:pgSz w:w="11906" w:h="16838"/>
          <w:pgMar w:top="1560" w:right="1418" w:bottom="1843" w:left="1418" w:header="709" w:footer="709" w:gutter="0"/>
          <w:cols w:space="720" w:equalWidth="0">
            <w:col w:w="8838"/>
          </w:cols>
        </w:sectPr>
      </w:pPr>
    </w:p>
    <w:p w14:paraId="276E330D" w14:textId="77777777" w:rsidR="00B50826" w:rsidRDefault="00006AE2">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lastRenderedPageBreak/>
        <w:t>Salvaguardas</w:t>
      </w:r>
    </w:p>
    <w:p w14:paraId="49A94506" w14:textId="77777777" w:rsidR="00B50826" w:rsidRDefault="00B50826">
      <w:pPr>
        <w:rPr>
          <w:rFonts w:ascii="Arial" w:eastAsia="Arial" w:hAnsi="Arial" w:cs="Arial"/>
          <w:color w:val="002060"/>
          <w:sz w:val="20"/>
          <w:szCs w:val="20"/>
        </w:rPr>
      </w:pPr>
    </w:p>
    <w:tbl>
      <w:tblPr>
        <w:tblStyle w:val="aff2"/>
        <w:tblW w:w="0" w:type="auto"/>
        <w:tblInd w:w="0" w:type="dxa"/>
        <w:tblLook w:val="0000" w:firstRow="0" w:lastRow="0" w:firstColumn="0" w:lastColumn="0" w:noHBand="0" w:noVBand="0"/>
      </w:tblPr>
      <w:tblGrid>
        <w:gridCol w:w="7134"/>
        <w:gridCol w:w="1228"/>
      </w:tblGrid>
      <w:tr w:rsidR="00B50826" w14:paraId="2F9F9627" w14:textId="77777777">
        <w:tc>
          <w:tcPr>
            <w:tcW w:w="0" w:type="auto"/>
            <w:tcBorders>
              <w:bottom w:val="single" w:sz="4" w:space="0" w:color="000000"/>
            </w:tcBorders>
            <w:shd w:val="clear" w:color="auto" w:fill="ACB9CA"/>
          </w:tcPr>
          <w:p w14:paraId="7DC9E612" w14:textId="77777777" w:rsidR="00B50826" w:rsidRDefault="00006AE2">
            <w:pPr>
              <w:tabs>
                <w:tab w:val="left" w:pos="810"/>
              </w:tabs>
              <w:rPr>
                <w:rFonts w:ascii="Arial" w:eastAsia="Arial" w:hAnsi="Arial" w:cs="Arial"/>
                <w:color w:val="002060"/>
                <w:sz w:val="20"/>
                <w:szCs w:val="20"/>
                <w:u w:val="single"/>
              </w:rPr>
            </w:pPr>
            <w:r>
              <w:rPr>
                <w:rFonts w:ascii="Arial" w:eastAsia="Arial" w:hAnsi="Arial" w:cs="Arial"/>
                <w:b/>
                <w:color w:val="002060"/>
                <w:sz w:val="20"/>
                <w:szCs w:val="20"/>
              </w:rPr>
              <w:t>Riesgos sociales y medioambientales potenciales Lista de verificación</w:t>
            </w:r>
          </w:p>
        </w:tc>
        <w:tc>
          <w:tcPr>
            <w:tcW w:w="0" w:type="auto"/>
            <w:tcBorders>
              <w:bottom w:val="single" w:sz="4" w:space="0" w:color="000000"/>
            </w:tcBorders>
            <w:shd w:val="clear" w:color="auto" w:fill="ACB9CA"/>
          </w:tcPr>
          <w:p w14:paraId="458C3A26" w14:textId="77777777" w:rsidR="00B50826" w:rsidRDefault="00B50826">
            <w:pPr>
              <w:tabs>
                <w:tab w:val="left" w:pos="810"/>
              </w:tabs>
              <w:rPr>
                <w:rFonts w:ascii="Arial" w:eastAsia="Arial" w:hAnsi="Arial" w:cs="Arial"/>
                <w:color w:val="002060"/>
                <w:sz w:val="20"/>
                <w:szCs w:val="20"/>
              </w:rPr>
            </w:pPr>
          </w:p>
        </w:tc>
      </w:tr>
      <w:tr w:rsidR="00B50826" w14:paraId="225D4482" w14:textId="77777777">
        <w:tc>
          <w:tcPr>
            <w:tcW w:w="0" w:type="auto"/>
            <w:tcBorders>
              <w:bottom w:val="single" w:sz="4" w:space="0" w:color="000000"/>
            </w:tcBorders>
            <w:shd w:val="clear" w:color="auto" w:fill="D9E2F3"/>
          </w:tcPr>
          <w:p w14:paraId="1850218C" w14:textId="77777777" w:rsidR="00B50826" w:rsidRDefault="00006AE2">
            <w:pPr>
              <w:tabs>
                <w:tab w:val="left" w:pos="810"/>
              </w:tabs>
              <w:spacing w:before="120" w:after="120"/>
              <w:rPr>
                <w:rFonts w:ascii="Arial" w:eastAsia="Arial" w:hAnsi="Arial" w:cs="Arial"/>
                <w:b/>
                <w:color w:val="002060"/>
                <w:sz w:val="20"/>
                <w:szCs w:val="20"/>
              </w:rPr>
            </w:pPr>
            <w:r>
              <w:rPr>
                <w:rFonts w:ascii="Arial" w:eastAsia="Arial" w:hAnsi="Arial" w:cs="Arial"/>
                <w:b/>
                <w:color w:val="002060"/>
                <w:sz w:val="20"/>
                <w:szCs w:val="20"/>
              </w:rPr>
              <w:t>Principios 1: Derechos Humanos.</w:t>
            </w:r>
          </w:p>
        </w:tc>
        <w:tc>
          <w:tcPr>
            <w:tcW w:w="0" w:type="auto"/>
            <w:tcBorders>
              <w:bottom w:val="single" w:sz="4" w:space="0" w:color="000000"/>
            </w:tcBorders>
            <w:shd w:val="clear" w:color="auto" w:fill="D9E2F3"/>
          </w:tcPr>
          <w:p w14:paraId="5523C75B" w14:textId="77777777" w:rsidR="00B50826" w:rsidRDefault="00006AE2">
            <w:pPr>
              <w:tabs>
                <w:tab w:val="left" w:pos="810"/>
              </w:tabs>
              <w:jc w:val="center"/>
              <w:rPr>
                <w:rFonts w:ascii="Arial" w:eastAsia="Arial" w:hAnsi="Arial" w:cs="Arial"/>
                <w:b/>
                <w:color w:val="002060"/>
                <w:sz w:val="20"/>
                <w:szCs w:val="20"/>
              </w:rPr>
            </w:pPr>
            <w:r>
              <w:rPr>
                <w:rFonts w:ascii="Arial" w:eastAsia="Arial" w:hAnsi="Arial" w:cs="Arial"/>
                <w:b/>
                <w:color w:val="002060"/>
                <w:sz w:val="20"/>
                <w:szCs w:val="20"/>
              </w:rPr>
              <w:t xml:space="preserve">Respuesta </w:t>
            </w:r>
          </w:p>
          <w:p w14:paraId="58A3E38C" w14:textId="77777777" w:rsidR="00B50826" w:rsidRDefault="00006AE2">
            <w:pPr>
              <w:tabs>
                <w:tab w:val="left" w:pos="810"/>
              </w:tabs>
              <w:jc w:val="center"/>
              <w:rPr>
                <w:rFonts w:ascii="Arial" w:eastAsia="Arial" w:hAnsi="Arial" w:cs="Arial"/>
                <w:b/>
                <w:color w:val="002060"/>
                <w:sz w:val="20"/>
                <w:szCs w:val="20"/>
              </w:rPr>
            </w:pPr>
            <w:r>
              <w:rPr>
                <w:rFonts w:ascii="Arial" w:eastAsia="Arial" w:hAnsi="Arial" w:cs="Arial"/>
                <w:b/>
                <w:color w:val="002060"/>
                <w:sz w:val="20"/>
                <w:szCs w:val="20"/>
              </w:rPr>
              <w:t xml:space="preserve">(Sí / No) </w:t>
            </w:r>
          </w:p>
        </w:tc>
      </w:tr>
      <w:tr w:rsidR="00B50826" w14:paraId="710E7AB4" w14:textId="77777777">
        <w:tc>
          <w:tcPr>
            <w:tcW w:w="0" w:type="auto"/>
            <w:tcBorders>
              <w:bottom w:val="single" w:sz="4" w:space="0" w:color="000000"/>
            </w:tcBorders>
            <w:shd w:val="clear" w:color="auto" w:fill="auto"/>
          </w:tcPr>
          <w:p w14:paraId="6F19F01D"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1.</w:t>
            </w:r>
            <w:r>
              <w:rPr>
                <w:rFonts w:ascii="Arial" w:eastAsia="Arial" w:hAnsi="Arial" w:cs="Arial"/>
                <w:color w:val="002060"/>
                <w:sz w:val="18"/>
                <w:szCs w:val="18"/>
              </w:rPr>
              <w:tab/>
              <w:t>Podría la propuesta generar impactos adversos sobre el disfrute de los derechos humanos (civiles, políticos, económicos, sociales o culturales) de la población afectada y en particular de los grupos marginados?</w:t>
            </w:r>
          </w:p>
        </w:tc>
        <w:tc>
          <w:tcPr>
            <w:tcW w:w="0" w:type="auto"/>
            <w:tcBorders>
              <w:bottom w:val="single" w:sz="4" w:space="0" w:color="000000"/>
            </w:tcBorders>
            <w:shd w:val="clear" w:color="auto" w:fill="auto"/>
          </w:tcPr>
          <w:p w14:paraId="511D6DEA"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7F41E1A" w14:textId="77777777">
        <w:tc>
          <w:tcPr>
            <w:tcW w:w="0" w:type="auto"/>
            <w:tcBorders>
              <w:bottom w:val="single" w:sz="4" w:space="0" w:color="000000"/>
            </w:tcBorders>
            <w:shd w:val="clear" w:color="auto" w:fill="auto"/>
          </w:tcPr>
          <w:p w14:paraId="53863D48"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 xml:space="preserve">2. </w:t>
            </w:r>
            <w:r>
              <w:rPr>
                <w:rFonts w:ascii="Arial" w:eastAsia="Arial" w:hAnsi="Arial" w:cs="Arial"/>
                <w:color w:val="002060"/>
                <w:sz w:val="18"/>
                <w:szCs w:val="18"/>
              </w:rPr>
              <w:tab/>
              <w:t>¿Hay alguna probabilidad de que la propuesta tenga efectos adversos no equitativos o discriminatorio en las poblaciones afectadas, en particular las personas que viven en la pobreza o individuos o grupos marginados o excluidos?</w:t>
            </w:r>
            <w:r>
              <w:rPr>
                <w:rFonts w:ascii="Arial" w:eastAsia="Arial" w:hAnsi="Arial" w:cs="Arial"/>
                <w:color w:val="002060"/>
                <w:sz w:val="18"/>
                <w:szCs w:val="18"/>
                <w:vertAlign w:val="superscript"/>
              </w:rPr>
              <w:footnoteReference w:id="48"/>
            </w:r>
            <w:r>
              <w:rPr>
                <w:rFonts w:ascii="Arial" w:eastAsia="Arial" w:hAnsi="Arial" w:cs="Arial"/>
                <w:color w:val="002060"/>
                <w:sz w:val="18"/>
                <w:szCs w:val="18"/>
              </w:rPr>
              <w:t xml:space="preserve"> </w:t>
            </w:r>
          </w:p>
        </w:tc>
        <w:tc>
          <w:tcPr>
            <w:tcW w:w="0" w:type="auto"/>
            <w:tcBorders>
              <w:bottom w:val="single" w:sz="4" w:space="0" w:color="000000"/>
            </w:tcBorders>
            <w:shd w:val="clear" w:color="auto" w:fill="auto"/>
          </w:tcPr>
          <w:p w14:paraId="5FE9D097"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4537A598" w14:textId="77777777">
        <w:tc>
          <w:tcPr>
            <w:tcW w:w="0" w:type="auto"/>
            <w:tcBorders>
              <w:bottom w:val="single" w:sz="4" w:space="0" w:color="000000"/>
            </w:tcBorders>
            <w:shd w:val="clear" w:color="auto" w:fill="auto"/>
          </w:tcPr>
          <w:p w14:paraId="5B339ED7"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3.</w:t>
            </w:r>
            <w:r>
              <w:rPr>
                <w:rFonts w:ascii="Arial" w:eastAsia="Arial" w:hAnsi="Arial" w:cs="Arial"/>
                <w:color w:val="002060"/>
                <w:sz w:val="18"/>
                <w:szCs w:val="18"/>
              </w:rPr>
              <w:tab/>
              <w:t>¿Podría potencialmente la implementación de la propuesta restringir la disponibilidad, la calidad y el acceso a los recursos o servicios básicos, en particular, a las personas o grupos marginados?</w:t>
            </w:r>
          </w:p>
        </w:tc>
        <w:tc>
          <w:tcPr>
            <w:tcW w:w="0" w:type="auto"/>
            <w:tcBorders>
              <w:bottom w:val="single" w:sz="4" w:space="0" w:color="000000"/>
            </w:tcBorders>
            <w:shd w:val="clear" w:color="auto" w:fill="auto"/>
          </w:tcPr>
          <w:p w14:paraId="66617E50"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47D11BA3" w14:textId="77777777">
        <w:tc>
          <w:tcPr>
            <w:tcW w:w="0" w:type="auto"/>
            <w:tcBorders>
              <w:bottom w:val="single" w:sz="4" w:space="0" w:color="000000"/>
            </w:tcBorders>
            <w:shd w:val="clear" w:color="auto" w:fill="auto"/>
          </w:tcPr>
          <w:p w14:paraId="02D88C98" w14:textId="77777777" w:rsidR="00B50826" w:rsidRDefault="00006AE2">
            <w:pPr>
              <w:shd w:val="clear" w:color="auto" w:fill="F8F9FA"/>
              <w:tabs>
                <w:tab w:val="left" w:pos="7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8" w:hanging="284"/>
              <w:rPr>
                <w:rFonts w:ascii="Arial" w:eastAsia="Arial" w:hAnsi="Arial" w:cs="Arial"/>
                <w:color w:val="002060"/>
                <w:sz w:val="18"/>
                <w:szCs w:val="18"/>
              </w:rPr>
            </w:pPr>
            <w:r>
              <w:rPr>
                <w:rFonts w:ascii="Arial" w:eastAsia="Arial" w:hAnsi="Arial" w:cs="Arial"/>
                <w:color w:val="002060"/>
                <w:sz w:val="18"/>
                <w:szCs w:val="18"/>
              </w:rPr>
              <w:t>4. ¿Existe la posibilidad de que la propuesta excluya a las partes interesadas potencialmente afectadas, en particular los grupos marginados, de participar plenamente en las decisiones que pueden afectarlos?</w:t>
            </w:r>
          </w:p>
        </w:tc>
        <w:tc>
          <w:tcPr>
            <w:tcW w:w="0" w:type="auto"/>
            <w:tcBorders>
              <w:bottom w:val="single" w:sz="4" w:space="0" w:color="000000"/>
            </w:tcBorders>
            <w:shd w:val="clear" w:color="auto" w:fill="auto"/>
          </w:tcPr>
          <w:p w14:paraId="48964490"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 xml:space="preserve">si </w:t>
            </w:r>
          </w:p>
        </w:tc>
      </w:tr>
      <w:tr w:rsidR="00B50826" w14:paraId="39981928" w14:textId="77777777">
        <w:tc>
          <w:tcPr>
            <w:tcW w:w="0" w:type="auto"/>
            <w:tcBorders>
              <w:bottom w:val="single" w:sz="4" w:space="0" w:color="000000"/>
            </w:tcBorders>
            <w:shd w:val="clear" w:color="auto" w:fill="auto"/>
          </w:tcPr>
          <w:p w14:paraId="3C1E0618" w14:textId="77777777" w:rsidR="00B50826" w:rsidRDefault="00006AE2">
            <w:pPr>
              <w:tabs>
                <w:tab w:val="left" w:pos="900"/>
              </w:tabs>
              <w:spacing w:before="60" w:after="60"/>
              <w:ind w:left="318" w:hanging="284"/>
              <w:rPr>
                <w:rFonts w:ascii="Arial" w:eastAsia="Arial" w:hAnsi="Arial" w:cs="Arial"/>
                <w:color w:val="002060"/>
                <w:sz w:val="18"/>
                <w:szCs w:val="18"/>
              </w:rPr>
            </w:pPr>
            <w:bookmarkStart w:id="15" w:name="_heading=h.1ksv4uv" w:colFirst="0" w:colLast="0"/>
            <w:bookmarkEnd w:id="15"/>
            <w:r>
              <w:rPr>
                <w:rFonts w:ascii="Arial" w:eastAsia="Arial" w:hAnsi="Arial" w:cs="Arial"/>
                <w:color w:val="002060"/>
                <w:sz w:val="18"/>
                <w:szCs w:val="18"/>
              </w:rPr>
              <w:t>5.</w:t>
            </w:r>
            <w:r>
              <w:rPr>
                <w:rFonts w:ascii="Arial" w:eastAsia="Arial" w:hAnsi="Arial" w:cs="Arial"/>
                <w:color w:val="002060"/>
                <w:sz w:val="18"/>
                <w:szCs w:val="18"/>
              </w:rPr>
              <w:tab/>
              <w:t>¿Existe el riesgo que los garantes de los derechos no tengas las capacidades para cumplir con sus obligaciones en la propuesta?</w:t>
            </w:r>
          </w:p>
        </w:tc>
        <w:tc>
          <w:tcPr>
            <w:tcW w:w="0" w:type="auto"/>
            <w:tcBorders>
              <w:bottom w:val="single" w:sz="4" w:space="0" w:color="000000"/>
            </w:tcBorders>
            <w:shd w:val="clear" w:color="auto" w:fill="auto"/>
          </w:tcPr>
          <w:p w14:paraId="66DCA44D"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BD6FCE4" w14:textId="77777777">
        <w:tc>
          <w:tcPr>
            <w:tcW w:w="0" w:type="auto"/>
            <w:tcBorders>
              <w:bottom w:val="single" w:sz="4" w:space="0" w:color="000000"/>
            </w:tcBorders>
            <w:shd w:val="clear" w:color="auto" w:fill="auto"/>
          </w:tcPr>
          <w:p w14:paraId="1B09DEB0"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6.</w:t>
            </w:r>
            <w:r>
              <w:rPr>
                <w:rFonts w:ascii="Arial" w:eastAsia="Arial" w:hAnsi="Arial" w:cs="Arial"/>
                <w:color w:val="002060"/>
                <w:sz w:val="18"/>
                <w:szCs w:val="18"/>
              </w:rPr>
              <w:tab/>
              <w:t xml:space="preserve">¿Existe el riesgo de que los titulares de derechos no tengan la capacidad para reclamar sus derechos? </w:t>
            </w:r>
          </w:p>
        </w:tc>
        <w:tc>
          <w:tcPr>
            <w:tcW w:w="0" w:type="auto"/>
            <w:tcBorders>
              <w:bottom w:val="single" w:sz="4" w:space="0" w:color="000000"/>
            </w:tcBorders>
            <w:shd w:val="clear" w:color="auto" w:fill="auto"/>
          </w:tcPr>
          <w:p w14:paraId="64B0C088"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725404B" w14:textId="77777777">
        <w:tc>
          <w:tcPr>
            <w:tcW w:w="0" w:type="auto"/>
            <w:tcBorders>
              <w:bottom w:val="single" w:sz="4" w:space="0" w:color="000000"/>
            </w:tcBorders>
            <w:shd w:val="clear" w:color="auto" w:fill="auto"/>
          </w:tcPr>
          <w:p w14:paraId="31B0AEB7"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7.</w:t>
            </w:r>
            <w:r>
              <w:rPr>
                <w:rFonts w:ascii="Arial" w:eastAsia="Arial" w:hAnsi="Arial" w:cs="Arial"/>
                <w:color w:val="002060"/>
                <w:sz w:val="18"/>
                <w:szCs w:val="18"/>
              </w:rPr>
              <w:tab/>
              <w:t>¿Tienen las comunidades o individuos locales, dada la oportunidad planteada, preocupaciones de derechos humanos en relación con la propuesta durante el proceso de participación de los interesados?</w:t>
            </w:r>
          </w:p>
        </w:tc>
        <w:tc>
          <w:tcPr>
            <w:tcW w:w="0" w:type="auto"/>
            <w:tcBorders>
              <w:bottom w:val="single" w:sz="4" w:space="0" w:color="000000"/>
            </w:tcBorders>
            <w:shd w:val="clear" w:color="auto" w:fill="auto"/>
          </w:tcPr>
          <w:p w14:paraId="622B6DEE"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F7844CC" w14:textId="77777777">
        <w:tc>
          <w:tcPr>
            <w:tcW w:w="0" w:type="auto"/>
            <w:tcBorders>
              <w:bottom w:val="single" w:sz="4" w:space="0" w:color="000000"/>
            </w:tcBorders>
            <w:shd w:val="clear" w:color="auto" w:fill="auto"/>
          </w:tcPr>
          <w:p w14:paraId="2B204840"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8.</w:t>
            </w:r>
            <w:r>
              <w:rPr>
                <w:rFonts w:ascii="Arial" w:eastAsia="Arial" w:hAnsi="Arial" w:cs="Arial"/>
                <w:color w:val="002060"/>
                <w:sz w:val="18"/>
                <w:szCs w:val="18"/>
              </w:rPr>
              <w:tab/>
              <w:t>¿Existe el riesgo de que la propuesta exacerbaría los conflictos entre y/o el riesgo de violencia a las comunidades y personas afectadas por la propuesta?</w:t>
            </w:r>
          </w:p>
        </w:tc>
        <w:tc>
          <w:tcPr>
            <w:tcW w:w="0" w:type="auto"/>
            <w:tcBorders>
              <w:bottom w:val="single" w:sz="4" w:space="0" w:color="000000"/>
            </w:tcBorders>
            <w:shd w:val="clear" w:color="auto" w:fill="auto"/>
          </w:tcPr>
          <w:p w14:paraId="10809246"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521CFCE5" w14:textId="77777777">
        <w:tc>
          <w:tcPr>
            <w:tcW w:w="0" w:type="auto"/>
            <w:tcBorders>
              <w:bottom w:val="single" w:sz="4" w:space="0" w:color="000000"/>
            </w:tcBorders>
            <w:shd w:val="clear" w:color="auto" w:fill="D9E2F3"/>
          </w:tcPr>
          <w:p w14:paraId="33F416E2" w14:textId="77777777" w:rsidR="00B50826" w:rsidRDefault="00006AE2">
            <w:pPr>
              <w:tabs>
                <w:tab w:val="left" w:pos="810"/>
              </w:tabs>
              <w:spacing w:before="120" w:after="120"/>
              <w:ind w:left="318" w:hanging="284"/>
              <w:rPr>
                <w:rFonts w:ascii="Arial" w:eastAsia="Arial" w:hAnsi="Arial" w:cs="Arial"/>
                <w:b/>
                <w:color w:val="002060"/>
                <w:sz w:val="18"/>
                <w:szCs w:val="18"/>
              </w:rPr>
            </w:pPr>
            <w:r>
              <w:rPr>
                <w:rFonts w:ascii="Arial" w:eastAsia="Arial" w:hAnsi="Arial" w:cs="Arial"/>
                <w:b/>
                <w:color w:val="002060"/>
                <w:sz w:val="18"/>
                <w:szCs w:val="18"/>
              </w:rPr>
              <w:t>Principio 2: Igualdad de género y empoderamiento de las mujeres</w:t>
            </w:r>
          </w:p>
        </w:tc>
        <w:tc>
          <w:tcPr>
            <w:tcW w:w="0" w:type="auto"/>
            <w:tcBorders>
              <w:bottom w:val="single" w:sz="4" w:space="0" w:color="000000"/>
            </w:tcBorders>
            <w:shd w:val="clear" w:color="auto" w:fill="D9E2F3"/>
          </w:tcPr>
          <w:p w14:paraId="361EAE99" w14:textId="77777777" w:rsidR="00B50826" w:rsidRDefault="00B50826">
            <w:pPr>
              <w:tabs>
                <w:tab w:val="left" w:pos="810"/>
              </w:tabs>
              <w:spacing w:before="120" w:after="120"/>
              <w:rPr>
                <w:rFonts w:ascii="Arial" w:eastAsia="Arial" w:hAnsi="Arial" w:cs="Arial"/>
                <w:b/>
                <w:color w:val="002060"/>
                <w:sz w:val="20"/>
                <w:szCs w:val="20"/>
              </w:rPr>
            </w:pPr>
          </w:p>
        </w:tc>
      </w:tr>
      <w:tr w:rsidR="00B50826" w14:paraId="6FA85D4A" w14:textId="77777777">
        <w:tc>
          <w:tcPr>
            <w:tcW w:w="0" w:type="auto"/>
            <w:tcBorders>
              <w:bottom w:val="single" w:sz="4" w:space="0" w:color="000000"/>
            </w:tcBorders>
            <w:shd w:val="clear" w:color="auto" w:fill="auto"/>
          </w:tcPr>
          <w:p w14:paraId="3D1ECAD0" w14:textId="77777777" w:rsidR="00B50826" w:rsidRDefault="00006AE2">
            <w:pPr>
              <w:numPr>
                <w:ilvl w:val="0"/>
                <w:numId w:val="2"/>
              </w:numPr>
              <w:pBdr>
                <w:top w:val="nil"/>
                <w:left w:val="nil"/>
                <w:bottom w:val="nil"/>
                <w:right w:val="nil"/>
                <w:between w:val="nil"/>
              </w:pBd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¿Hay alguna probabilidad que al implementar la propuesta tenga efectos adversos sobre la igualdad de género y/o la situación de las mujeres y las niñas?</w:t>
            </w:r>
          </w:p>
        </w:tc>
        <w:tc>
          <w:tcPr>
            <w:tcW w:w="0" w:type="auto"/>
            <w:tcBorders>
              <w:bottom w:val="single" w:sz="4" w:space="0" w:color="000000"/>
            </w:tcBorders>
            <w:shd w:val="clear" w:color="auto" w:fill="auto"/>
          </w:tcPr>
          <w:p w14:paraId="61575D6F"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A1A46B7" w14:textId="77777777">
        <w:tc>
          <w:tcPr>
            <w:tcW w:w="0" w:type="auto"/>
            <w:tcBorders>
              <w:bottom w:val="single" w:sz="4" w:space="0" w:color="000000"/>
            </w:tcBorders>
            <w:shd w:val="clear" w:color="auto" w:fill="auto"/>
          </w:tcPr>
          <w:p w14:paraId="290FC44A" w14:textId="77777777" w:rsidR="00B50826" w:rsidRDefault="00006AE2">
            <w:pPr>
              <w:numPr>
                <w:ilvl w:val="0"/>
                <w:numId w:val="2"/>
              </w:num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8" w:hanging="284"/>
              <w:jc w:val="both"/>
              <w:rPr>
                <w:rFonts w:ascii="Arial" w:eastAsia="Arial" w:hAnsi="Arial" w:cs="Arial"/>
                <w:color w:val="002060"/>
                <w:sz w:val="18"/>
                <w:szCs w:val="18"/>
              </w:rPr>
            </w:pPr>
            <w:r>
              <w:rPr>
                <w:rFonts w:ascii="Arial" w:eastAsia="Arial" w:hAnsi="Arial" w:cs="Arial"/>
                <w:color w:val="002060"/>
                <w:sz w:val="18"/>
                <w:szCs w:val="18"/>
              </w:rPr>
              <w:t>¿Reproduciría la propuesta potencialmente discriminaciones contra las mujeres basadas en el género, especialmente en la participación en el diseño y la implementación o el acceso a oportunidades y beneficios?</w:t>
            </w:r>
          </w:p>
        </w:tc>
        <w:tc>
          <w:tcPr>
            <w:tcW w:w="0" w:type="auto"/>
            <w:tcBorders>
              <w:bottom w:val="single" w:sz="4" w:space="0" w:color="000000"/>
            </w:tcBorders>
            <w:shd w:val="clear" w:color="auto" w:fill="auto"/>
          </w:tcPr>
          <w:p w14:paraId="5CEA0DA4"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Si</w:t>
            </w:r>
          </w:p>
        </w:tc>
      </w:tr>
      <w:tr w:rsidR="00B50826" w14:paraId="025F9B16" w14:textId="77777777">
        <w:tc>
          <w:tcPr>
            <w:tcW w:w="0" w:type="auto"/>
            <w:tcBorders>
              <w:bottom w:val="single" w:sz="4" w:space="0" w:color="000000"/>
            </w:tcBorders>
            <w:shd w:val="clear" w:color="auto" w:fill="auto"/>
          </w:tcPr>
          <w:p w14:paraId="7D1790CD" w14:textId="77777777" w:rsidR="00B50826" w:rsidRDefault="00006AE2">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8" w:hanging="284"/>
              <w:rPr>
                <w:rFonts w:ascii="Arial" w:eastAsia="Arial" w:hAnsi="Arial" w:cs="Arial"/>
                <w:color w:val="002060"/>
                <w:sz w:val="18"/>
                <w:szCs w:val="18"/>
              </w:rPr>
            </w:pPr>
            <w:r>
              <w:rPr>
                <w:rFonts w:ascii="Arial" w:eastAsia="Arial" w:hAnsi="Arial" w:cs="Arial"/>
                <w:color w:val="002060"/>
                <w:sz w:val="18"/>
                <w:szCs w:val="18"/>
              </w:rPr>
              <w:t xml:space="preserve">Los </w:t>
            </w:r>
            <w:proofErr w:type="spellStart"/>
            <w:r>
              <w:rPr>
                <w:rFonts w:ascii="Arial" w:eastAsia="Arial" w:hAnsi="Arial" w:cs="Arial"/>
                <w:color w:val="002060"/>
                <w:sz w:val="18"/>
                <w:szCs w:val="18"/>
              </w:rPr>
              <w:t>groups</w:t>
            </w:r>
            <w:proofErr w:type="spellEnd"/>
            <w:r>
              <w:rPr>
                <w:rFonts w:ascii="Arial" w:eastAsia="Arial" w:hAnsi="Arial" w:cs="Arial"/>
                <w:color w:val="002060"/>
                <w:sz w:val="18"/>
                <w:szCs w:val="18"/>
              </w:rPr>
              <w:t xml:space="preserve"> / líderes de mujeres han planteado inquietudes de igualdad de género con respecto a la propuesta durante el proceso de participación de las partes interesadas? ¿Se ha incluido esto en la propuesta general de la propuesta y en la evaluación de riesgos?</w:t>
            </w:r>
          </w:p>
        </w:tc>
        <w:tc>
          <w:tcPr>
            <w:tcW w:w="0" w:type="auto"/>
            <w:tcBorders>
              <w:bottom w:val="single" w:sz="4" w:space="0" w:color="000000"/>
            </w:tcBorders>
            <w:shd w:val="clear" w:color="auto" w:fill="auto"/>
          </w:tcPr>
          <w:p w14:paraId="0C1AFCC4"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91E5244" w14:textId="77777777">
        <w:tc>
          <w:tcPr>
            <w:tcW w:w="0" w:type="auto"/>
            <w:tcBorders>
              <w:bottom w:val="single" w:sz="4" w:space="0" w:color="000000"/>
            </w:tcBorders>
            <w:shd w:val="clear" w:color="auto" w:fill="auto"/>
          </w:tcPr>
          <w:p w14:paraId="28CD5118" w14:textId="77777777" w:rsidR="00B50826" w:rsidRDefault="00006AE2">
            <w:pPr>
              <w:numPr>
                <w:ilvl w:val="0"/>
                <w:numId w:val="2"/>
              </w:numPr>
              <w:pBdr>
                <w:top w:val="nil"/>
                <w:left w:val="nil"/>
                <w:bottom w:val="nil"/>
                <w:right w:val="nil"/>
                <w:between w:val="nil"/>
              </w:pBdr>
              <w:tabs>
                <w:tab w:val="left" w:pos="900"/>
              </w:tabs>
              <w:spacing w:before="60" w:after="60"/>
              <w:ind w:left="318" w:hanging="284"/>
              <w:rPr>
                <w:rFonts w:ascii="Arial" w:eastAsia="Arial" w:hAnsi="Arial" w:cs="Arial"/>
                <w:i/>
                <w:color w:val="002060"/>
                <w:sz w:val="18"/>
                <w:szCs w:val="18"/>
              </w:rPr>
            </w:pPr>
            <w:r>
              <w:rPr>
                <w:rFonts w:ascii="Arial" w:eastAsia="Arial" w:hAnsi="Arial" w:cs="Arial"/>
                <w:color w:val="002060"/>
                <w:sz w:val="18"/>
                <w:szCs w:val="18"/>
              </w:rPr>
              <w:t>La propuesta limitaría potencialmente la capacidad de las mujeres a utilizar, desarrollar y proteger los recursos naturales, teniendo en cuenta los diferentes roles y posiciones de mujeres y hombres en el acceso a bienes y servicios ambientales?</w:t>
            </w:r>
            <w:r>
              <w:rPr>
                <w:rFonts w:ascii="Arial" w:eastAsia="Arial" w:hAnsi="Arial" w:cs="Arial"/>
                <w:color w:val="002060"/>
                <w:sz w:val="18"/>
                <w:szCs w:val="18"/>
              </w:rPr>
              <w:tab/>
            </w:r>
          </w:p>
        </w:tc>
        <w:tc>
          <w:tcPr>
            <w:tcW w:w="0" w:type="auto"/>
            <w:tcBorders>
              <w:bottom w:val="single" w:sz="4" w:space="0" w:color="000000"/>
            </w:tcBorders>
            <w:shd w:val="clear" w:color="auto" w:fill="auto"/>
          </w:tcPr>
          <w:p w14:paraId="67ACBEBD" w14:textId="77777777" w:rsidR="00B50826" w:rsidRDefault="00006AE2">
            <w:pPr>
              <w:tabs>
                <w:tab w:val="left" w:pos="810"/>
              </w:tabs>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11D0E14" w14:textId="77777777">
        <w:tc>
          <w:tcPr>
            <w:tcW w:w="0" w:type="auto"/>
            <w:tcBorders>
              <w:bottom w:val="single" w:sz="4" w:space="0" w:color="000000"/>
            </w:tcBorders>
            <w:shd w:val="clear" w:color="auto" w:fill="D9E2F3"/>
          </w:tcPr>
          <w:p w14:paraId="4B46F356" w14:textId="77777777" w:rsidR="00B50826" w:rsidRDefault="00006AE2">
            <w:pPr>
              <w:tabs>
                <w:tab w:val="left" w:pos="810"/>
              </w:tabs>
              <w:spacing w:before="120" w:after="120"/>
              <w:ind w:left="318" w:hanging="284"/>
              <w:rPr>
                <w:rFonts w:ascii="Arial" w:eastAsia="Arial" w:hAnsi="Arial" w:cs="Arial"/>
                <w:b/>
                <w:color w:val="002060"/>
                <w:sz w:val="18"/>
                <w:szCs w:val="18"/>
              </w:rPr>
            </w:pPr>
            <w:r>
              <w:rPr>
                <w:rFonts w:ascii="Arial" w:eastAsia="Arial" w:hAnsi="Arial" w:cs="Arial"/>
                <w:b/>
                <w:color w:val="002060"/>
                <w:sz w:val="18"/>
                <w:szCs w:val="18"/>
              </w:rPr>
              <w:t xml:space="preserve">Principio 3: Sostenibilidad Ambiental: </w:t>
            </w:r>
            <w:r>
              <w:rPr>
                <w:rFonts w:ascii="Arial" w:eastAsia="Arial" w:hAnsi="Arial" w:cs="Arial"/>
                <w:color w:val="002060"/>
                <w:sz w:val="18"/>
                <w:szCs w:val="18"/>
              </w:rPr>
              <w:t>Revisión preguntas con respecto a los riesgos ambientales son abarcadas por las cuestiones específicas relacionadas con el estándar por debajo de</w:t>
            </w:r>
          </w:p>
        </w:tc>
        <w:tc>
          <w:tcPr>
            <w:tcW w:w="0" w:type="auto"/>
            <w:tcBorders>
              <w:bottom w:val="single" w:sz="4" w:space="0" w:color="000000"/>
            </w:tcBorders>
            <w:shd w:val="clear" w:color="auto" w:fill="D9E2F3"/>
          </w:tcPr>
          <w:p w14:paraId="7BF21503" w14:textId="77777777" w:rsidR="00B50826" w:rsidRDefault="00B50826">
            <w:pPr>
              <w:tabs>
                <w:tab w:val="left" w:pos="810"/>
              </w:tabs>
              <w:rPr>
                <w:rFonts w:ascii="Arial" w:eastAsia="Arial" w:hAnsi="Arial" w:cs="Arial"/>
                <w:color w:val="002060"/>
                <w:sz w:val="20"/>
                <w:szCs w:val="20"/>
              </w:rPr>
            </w:pPr>
          </w:p>
        </w:tc>
      </w:tr>
      <w:tr w:rsidR="00B50826" w14:paraId="0FAC383D" w14:textId="77777777">
        <w:tc>
          <w:tcPr>
            <w:tcW w:w="0" w:type="auto"/>
            <w:tcBorders>
              <w:bottom w:val="single" w:sz="4" w:space="0" w:color="000000"/>
            </w:tcBorders>
            <w:shd w:val="clear" w:color="auto" w:fill="auto"/>
          </w:tcPr>
          <w:p w14:paraId="22B1BDA7" w14:textId="77777777" w:rsidR="00B50826" w:rsidRDefault="00B50826">
            <w:pPr>
              <w:tabs>
                <w:tab w:val="left" w:pos="810"/>
              </w:tabs>
              <w:ind w:left="318" w:hanging="284"/>
              <w:rPr>
                <w:rFonts w:ascii="Arial" w:eastAsia="Arial" w:hAnsi="Arial" w:cs="Arial"/>
                <w:b/>
                <w:color w:val="002060"/>
                <w:sz w:val="18"/>
                <w:szCs w:val="18"/>
              </w:rPr>
            </w:pPr>
          </w:p>
        </w:tc>
        <w:tc>
          <w:tcPr>
            <w:tcW w:w="0" w:type="auto"/>
            <w:tcBorders>
              <w:bottom w:val="single" w:sz="4" w:space="0" w:color="000000"/>
            </w:tcBorders>
            <w:shd w:val="clear" w:color="auto" w:fill="auto"/>
          </w:tcPr>
          <w:p w14:paraId="17C585D7" w14:textId="77777777" w:rsidR="00B50826" w:rsidRDefault="00B50826">
            <w:pPr>
              <w:tabs>
                <w:tab w:val="left" w:pos="810"/>
              </w:tabs>
              <w:rPr>
                <w:rFonts w:ascii="Arial" w:eastAsia="Arial" w:hAnsi="Arial" w:cs="Arial"/>
                <w:color w:val="002060"/>
                <w:sz w:val="20"/>
                <w:szCs w:val="20"/>
              </w:rPr>
            </w:pPr>
          </w:p>
        </w:tc>
      </w:tr>
      <w:tr w:rsidR="00B50826" w14:paraId="5F63A6C0" w14:textId="77777777">
        <w:trPr>
          <w:trHeight w:val="151"/>
        </w:trPr>
        <w:tc>
          <w:tcPr>
            <w:tcW w:w="0" w:type="auto"/>
            <w:tcBorders>
              <w:bottom w:val="single" w:sz="4" w:space="0" w:color="000000"/>
            </w:tcBorders>
            <w:shd w:val="clear" w:color="auto" w:fill="D9E2F3"/>
            <w:vAlign w:val="center"/>
          </w:tcPr>
          <w:p w14:paraId="5CF6394D" w14:textId="77777777" w:rsidR="00B50826" w:rsidRDefault="00006AE2">
            <w:pPr>
              <w:tabs>
                <w:tab w:val="left" w:pos="570"/>
              </w:tabs>
              <w:spacing w:before="120" w:after="120"/>
              <w:ind w:left="318" w:hanging="284"/>
              <w:rPr>
                <w:rFonts w:ascii="Arial" w:eastAsia="Arial" w:hAnsi="Arial" w:cs="Arial"/>
                <w:b/>
                <w:color w:val="002060"/>
                <w:sz w:val="18"/>
                <w:szCs w:val="18"/>
              </w:rPr>
            </w:pPr>
            <w:r>
              <w:rPr>
                <w:rFonts w:ascii="Arial" w:eastAsia="Arial" w:hAnsi="Arial" w:cs="Arial"/>
                <w:b/>
                <w:color w:val="002060"/>
                <w:sz w:val="18"/>
                <w:szCs w:val="18"/>
              </w:rPr>
              <w:t xml:space="preserve">Estándar 1: Conservación de la biodiversidad y Sostenible </w:t>
            </w:r>
            <w:hyperlink w:anchor="bookmark=id.44sinio">
              <w:r>
                <w:rPr>
                  <w:rFonts w:ascii="Arial" w:eastAsia="Arial" w:hAnsi="Arial" w:cs="Arial"/>
                  <w:b/>
                  <w:color w:val="002060"/>
                  <w:sz w:val="18"/>
                  <w:szCs w:val="18"/>
                </w:rPr>
                <w:t>Natural</w:t>
              </w:r>
            </w:hyperlink>
            <w:r>
              <w:rPr>
                <w:rFonts w:ascii="Arial" w:eastAsia="Arial" w:hAnsi="Arial" w:cs="Arial"/>
                <w:b/>
                <w:color w:val="002060"/>
                <w:sz w:val="18"/>
                <w:szCs w:val="18"/>
              </w:rPr>
              <w:t xml:space="preserve"> Administración de recursos</w:t>
            </w:r>
          </w:p>
        </w:tc>
        <w:tc>
          <w:tcPr>
            <w:tcW w:w="0" w:type="auto"/>
            <w:tcBorders>
              <w:bottom w:val="single" w:sz="4" w:space="0" w:color="000000"/>
            </w:tcBorders>
            <w:shd w:val="clear" w:color="auto" w:fill="D9E2F3"/>
          </w:tcPr>
          <w:p w14:paraId="6D012134" w14:textId="77777777" w:rsidR="00B50826" w:rsidRDefault="00B50826">
            <w:pPr>
              <w:rPr>
                <w:rFonts w:ascii="Arial" w:eastAsia="Arial" w:hAnsi="Arial" w:cs="Arial"/>
                <w:b/>
                <w:color w:val="002060"/>
                <w:sz w:val="20"/>
                <w:szCs w:val="20"/>
              </w:rPr>
            </w:pPr>
          </w:p>
        </w:tc>
      </w:tr>
      <w:tr w:rsidR="00B50826" w14:paraId="54204D9E" w14:textId="77777777">
        <w:tc>
          <w:tcPr>
            <w:tcW w:w="0" w:type="auto"/>
            <w:shd w:val="clear" w:color="auto" w:fill="auto"/>
          </w:tcPr>
          <w:p w14:paraId="0D00EC18" w14:textId="77777777" w:rsidR="00B50826" w:rsidRDefault="00006AE2">
            <w:pPr>
              <w:spacing w:before="60" w:after="60"/>
              <w:ind w:left="176" w:hanging="284"/>
              <w:rPr>
                <w:rFonts w:ascii="Arial" w:eastAsia="Arial" w:hAnsi="Arial" w:cs="Arial"/>
                <w:color w:val="002060"/>
                <w:sz w:val="18"/>
                <w:szCs w:val="18"/>
              </w:rPr>
            </w:pPr>
            <w:r>
              <w:rPr>
                <w:rFonts w:ascii="Arial" w:eastAsia="Arial" w:hAnsi="Arial" w:cs="Arial"/>
                <w:color w:val="002060"/>
                <w:sz w:val="18"/>
                <w:szCs w:val="18"/>
              </w:rPr>
              <w:t>1.1 La propuesta potencialmente causaría impactos adversos en los hábitats (por ejemplo, modificados, y hábitats naturales críticos) y / o los ecosistemas y servicios de los ecosistemas?</w:t>
            </w:r>
          </w:p>
        </w:tc>
        <w:tc>
          <w:tcPr>
            <w:tcW w:w="0" w:type="auto"/>
            <w:shd w:val="clear" w:color="auto" w:fill="auto"/>
          </w:tcPr>
          <w:p w14:paraId="776E0E1C"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F9DFD90" w14:textId="77777777">
        <w:tc>
          <w:tcPr>
            <w:tcW w:w="0" w:type="auto"/>
            <w:tcBorders>
              <w:bottom w:val="single" w:sz="4" w:space="0" w:color="000000"/>
            </w:tcBorders>
            <w:shd w:val="clear" w:color="auto" w:fill="auto"/>
          </w:tcPr>
          <w:p w14:paraId="764E9391"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lastRenderedPageBreak/>
              <w:t>1.2 ¿Alguna de las actividades de la propuesta se proponen dentro o adyacentes a hábitats críticos y/o áreas ambientalmente sensibles, incluyendo áreas legalmente protegidas (por ejemplo, reserva natural, parque nacional), zonas propuestas para su protección, o se reconocen como tales por fuentes autorizadas y / o pueblos indígenas o comunidades locales?</w:t>
            </w:r>
          </w:p>
        </w:tc>
        <w:tc>
          <w:tcPr>
            <w:tcW w:w="0" w:type="auto"/>
            <w:tcBorders>
              <w:bottom w:val="single" w:sz="4" w:space="0" w:color="000000"/>
            </w:tcBorders>
            <w:shd w:val="clear" w:color="auto" w:fill="auto"/>
          </w:tcPr>
          <w:p w14:paraId="3F801477"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7BAE757" w14:textId="77777777">
        <w:tc>
          <w:tcPr>
            <w:tcW w:w="0" w:type="auto"/>
            <w:tcBorders>
              <w:bottom w:val="single" w:sz="4" w:space="0" w:color="000000"/>
            </w:tcBorders>
            <w:shd w:val="clear" w:color="auto" w:fill="auto"/>
          </w:tcPr>
          <w:p w14:paraId="5B15391B"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1.3</w:t>
            </w:r>
            <w:r>
              <w:rPr>
                <w:rFonts w:ascii="Arial" w:eastAsia="Arial" w:hAnsi="Arial" w:cs="Arial"/>
                <w:color w:val="002060"/>
                <w:sz w:val="18"/>
                <w:szCs w:val="18"/>
              </w:rPr>
              <w:tab/>
              <w:t>¿La propuesta implica cambios en el uso de las tierras y recursos que pueden tener impactos adversos sobre los ecosistemas, los hábitats, y/o medios de vida? (Nota: si se aplicarían las restricciones y/o limitaciones de acceso a las tierras, consulte Estándar 5)</w:t>
            </w:r>
          </w:p>
        </w:tc>
        <w:tc>
          <w:tcPr>
            <w:tcW w:w="0" w:type="auto"/>
            <w:tcBorders>
              <w:bottom w:val="single" w:sz="4" w:space="0" w:color="000000"/>
            </w:tcBorders>
            <w:shd w:val="clear" w:color="auto" w:fill="auto"/>
          </w:tcPr>
          <w:p w14:paraId="583C98B3"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7717AA1" w14:textId="77777777">
        <w:tc>
          <w:tcPr>
            <w:tcW w:w="0" w:type="auto"/>
            <w:tcBorders>
              <w:bottom w:val="single" w:sz="4" w:space="0" w:color="000000"/>
            </w:tcBorders>
            <w:shd w:val="clear" w:color="auto" w:fill="auto"/>
          </w:tcPr>
          <w:p w14:paraId="4849C60D"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1.4</w:t>
            </w:r>
            <w:r>
              <w:rPr>
                <w:rFonts w:ascii="Arial" w:eastAsia="Arial" w:hAnsi="Arial" w:cs="Arial"/>
                <w:color w:val="002060"/>
                <w:sz w:val="18"/>
                <w:szCs w:val="18"/>
              </w:rPr>
              <w:tab/>
              <w:t>Alguna de las actividades de la propuesta plantean riesgos para las especies en peligro de extinción?</w:t>
            </w:r>
          </w:p>
        </w:tc>
        <w:tc>
          <w:tcPr>
            <w:tcW w:w="0" w:type="auto"/>
            <w:tcBorders>
              <w:bottom w:val="single" w:sz="4" w:space="0" w:color="000000"/>
            </w:tcBorders>
            <w:shd w:val="clear" w:color="auto" w:fill="auto"/>
          </w:tcPr>
          <w:p w14:paraId="513FCB92"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40A871A" w14:textId="77777777">
        <w:tc>
          <w:tcPr>
            <w:tcW w:w="0" w:type="auto"/>
            <w:tcBorders>
              <w:bottom w:val="single" w:sz="4" w:space="0" w:color="000000"/>
            </w:tcBorders>
            <w:shd w:val="clear" w:color="auto" w:fill="auto"/>
          </w:tcPr>
          <w:p w14:paraId="777A3D1D"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 xml:space="preserve">1.5 </w:t>
            </w:r>
            <w:r>
              <w:rPr>
                <w:rFonts w:ascii="Arial" w:eastAsia="Arial" w:hAnsi="Arial" w:cs="Arial"/>
                <w:color w:val="002060"/>
                <w:sz w:val="18"/>
                <w:szCs w:val="18"/>
              </w:rPr>
              <w:tab/>
              <w:t>Alguna de las actividades de la propuesta plantean un riesgo de introducción de especies exóticas invasoras?</w:t>
            </w:r>
          </w:p>
        </w:tc>
        <w:tc>
          <w:tcPr>
            <w:tcW w:w="0" w:type="auto"/>
            <w:tcBorders>
              <w:bottom w:val="single" w:sz="4" w:space="0" w:color="000000"/>
            </w:tcBorders>
            <w:shd w:val="clear" w:color="auto" w:fill="auto"/>
          </w:tcPr>
          <w:p w14:paraId="27877E71"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8EF910B" w14:textId="77777777">
        <w:tc>
          <w:tcPr>
            <w:tcW w:w="0" w:type="auto"/>
            <w:tcBorders>
              <w:bottom w:val="single" w:sz="4" w:space="0" w:color="000000"/>
            </w:tcBorders>
            <w:shd w:val="clear" w:color="auto" w:fill="auto"/>
          </w:tcPr>
          <w:p w14:paraId="72ED9FF2"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1.6</w:t>
            </w:r>
            <w:r>
              <w:rPr>
                <w:rFonts w:ascii="Arial" w:eastAsia="Arial" w:hAnsi="Arial" w:cs="Arial"/>
                <w:color w:val="002060"/>
                <w:sz w:val="18"/>
                <w:szCs w:val="18"/>
              </w:rPr>
              <w:tab/>
              <w:t>¿Se provee la explotación de bosques naturales, el desarrollo de plantaciones o reforestación?</w:t>
            </w:r>
          </w:p>
        </w:tc>
        <w:tc>
          <w:tcPr>
            <w:tcW w:w="0" w:type="auto"/>
            <w:tcBorders>
              <w:bottom w:val="single" w:sz="4" w:space="0" w:color="000000"/>
            </w:tcBorders>
            <w:shd w:val="clear" w:color="auto" w:fill="auto"/>
          </w:tcPr>
          <w:p w14:paraId="211E0D43"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4467CA7" w14:textId="77777777">
        <w:tc>
          <w:tcPr>
            <w:tcW w:w="0" w:type="auto"/>
            <w:tcBorders>
              <w:bottom w:val="single" w:sz="4" w:space="0" w:color="000000"/>
            </w:tcBorders>
            <w:shd w:val="clear" w:color="auto" w:fill="auto"/>
          </w:tcPr>
          <w:p w14:paraId="399C1456"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 xml:space="preserve">1.7 </w:t>
            </w:r>
            <w:r>
              <w:rPr>
                <w:rFonts w:ascii="Arial" w:eastAsia="Arial" w:hAnsi="Arial" w:cs="Arial"/>
                <w:color w:val="002060"/>
                <w:sz w:val="18"/>
                <w:szCs w:val="18"/>
              </w:rPr>
              <w:tab/>
              <w:t>¿Se provee la producción y/o recolección de las poblaciones de peces y otras especies acuáticas?</w:t>
            </w:r>
          </w:p>
        </w:tc>
        <w:tc>
          <w:tcPr>
            <w:tcW w:w="0" w:type="auto"/>
            <w:tcBorders>
              <w:bottom w:val="single" w:sz="4" w:space="0" w:color="000000"/>
            </w:tcBorders>
            <w:shd w:val="clear" w:color="auto" w:fill="auto"/>
          </w:tcPr>
          <w:p w14:paraId="33C4E9B4"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8B328B7" w14:textId="77777777">
        <w:tc>
          <w:tcPr>
            <w:tcW w:w="0" w:type="auto"/>
            <w:tcBorders>
              <w:bottom w:val="single" w:sz="4" w:space="0" w:color="000000"/>
            </w:tcBorders>
            <w:shd w:val="clear" w:color="auto" w:fill="auto"/>
          </w:tcPr>
          <w:p w14:paraId="3F28D97A" w14:textId="77777777" w:rsidR="00B50826" w:rsidRDefault="00006AE2">
            <w:pPr>
              <w:tabs>
                <w:tab w:val="left" w:pos="900"/>
              </w:tabs>
              <w:spacing w:before="60" w:after="60"/>
              <w:ind w:left="318" w:hanging="284"/>
              <w:rPr>
                <w:rFonts w:ascii="Arial" w:eastAsia="Arial" w:hAnsi="Arial" w:cs="Arial"/>
                <w:i/>
                <w:color w:val="002060"/>
                <w:sz w:val="18"/>
                <w:szCs w:val="18"/>
              </w:rPr>
            </w:pPr>
            <w:r>
              <w:rPr>
                <w:rFonts w:ascii="Arial" w:eastAsia="Arial" w:hAnsi="Arial" w:cs="Arial"/>
                <w:color w:val="002060"/>
                <w:sz w:val="18"/>
                <w:szCs w:val="18"/>
              </w:rPr>
              <w:t xml:space="preserve">1.8 </w:t>
            </w:r>
            <w:r>
              <w:rPr>
                <w:rFonts w:ascii="Arial" w:eastAsia="Arial" w:hAnsi="Arial" w:cs="Arial"/>
                <w:color w:val="002060"/>
                <w:sz w:val="18"/>
                <w:szCs w:val="18"/>
              </w:rPr>
              <w:tab/>
              <w:t>¿Se provee la extracción significativa, desvío o contención de las aguas superficiales o subterráneas?</w:t>
            </w:r>
            <w:r>
              <w:rPr>
                <w:rFonts w:ascii="Arial" w:eastAsia="Arial" w:hAnsi="Arial" w:cs="Arial"/>
                <w:color w:val="002060"/>
                <w:sz w:val="18"/>
                <w:szCs w:val="18"/>
              </w:rPr>
              <w:tab/>
            </w:r>
          </w:p>
        </w:tc>
        <w:tc>
          <w:tcPr>
            <w:tcW w:w="0" w:type="auto"/>
            <w:tcBorders>
              <w:bottom w:val="single" w:sz="4" w:space="0" w:color="000000"/>
            </w:tcBorders>
            <w:shd w:val="clear" w:color="auto" w:fill="auto"/>
          </w:tcPr>
          <w:p w14:paraId="1D2BE9C0"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50D3FF1F" w14:textId="77777777">
        <w:tc>
          <w:tcPr>
            <w:tcW w:w="0" w:type="auto"/>
            <w:tcBorders>
              <w:bottom w:val="single" w:sz="4" w:space="0" w:color="000000"/>
            </w:tcBorders>
            <w:shd w:val="clear" w:color="auto" w:fill="auto"/>
          </w:tcPr>
          <w:p w14:paraId="4C2DD6A3" w14:textId="77777777" w:rsidR="00B50826" w:rsidRDefault="00006AE2">
            <w:pPr>
              <w:tabs>
                <w:tab w:val="left" w:pos="900"/>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1.9</w:t>
            </w:r>
            <w:r>
              <w:rPr>
                <w:rFonts w:ascii="Arial" w:eastAsia="Arial" w:hAnsi="Arial" w:cs="Arial"/>
                <w:color w:val="002060"/>
                <w:sz w:val="18"/>
                <w:szCs w:val="18"/>
              </w:rPr>
              <w:tab/>
              <w:t>¿Se provee la utilización de los recursos genéticos? (Por ejemplo, recogida y / o la cosecha, el desarrollo comercial)</w:t>
            </w:r>
          </w:p>
        </w:tc>
        <w:tc>
          <w:tcPr>
            <w:tcW w:w="0" w:type="auto"/>
            <w:tcBorders>
              <w:bottom w:val="single" w:sz="4" w:space="0" w:color="000000"/>
            </w:tcBorders>
            <w:shd w:val="clear" w:color="auto" w:fill="auto"/>
          </w:tcPr>
          <w:p w14:paraId="1590031C"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95B31AE" w14:textId="77777777">
        <w:tc>
          <w:tcPr>
            <w:tcW w:w="0" w:type="auto"/>
            <w:tcBorders>
              <w:bottom w:val="single" w:sz="4" w:space="0" w:color="000000"/>
            </w:tcBorders>
            <w:shd w:val="clear" w:color="auto" w:fill="auto"/>
          </w:tcPr>
          <w:p w14:paraId="6FEF19B5" w14:textId="77777777" w:rsidR="00B50826" w:rsidRDefault="00006AE2">
            <w:pPr>
              <w:tabs>
                <w:tab w:val="left" w:pos="900"/>
              </w:tabs>
              <w:spacing w:before="60" w:after="60"/>
              <w:ind w:left="318" w:hanging="284"/>
              <w:rPr>
                <w:rFonts w:ascii="Arial" w:eastAsia="Arial" w:hAnsi="Arial" w:cs="Arial"/>
                <w:b/>
                <w:color w:val="002060"/>
                <w:sz w:val="18"/>
                <w:szCs w:val="18"/>
              </w:rPr>
            </w:pPr>
            <w:r>
              <w:rPr>
                <w:rFonts w:ascii="Arial" w:eastAsia="Arial" w:hAnsi="Arial" w:cs="Arial"/>
                <w:color w:val="002060"/>
                <w:sz w:val="18"/>
                <w:szCs w:val="18"/>
              </w:rPr>
              <w:t>1.10 La propuesta podría generar un potencial transfronterizo perjudicial o preocupaciones ambientales a nivel mundial?</w:t>
            </w:r>
          </w:p>
        </w:tc>
        <w:tc>
          <w:tcPr>
            <w:tcW w:w="0" w:type="auto"/>
            <w:tcBorders>
              <w:bottom w:val="single" w:sz="4" w:space="0" w:color="000000"/>
            </w:tcBorders>
            <w:shd w:val="clear" w:color="auto" w:fill="auto"/>
          </w:tcPr>
          <w:p w14:paraId="42BA1F9A"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C56B9B3" w14:textId="77777777">
        <w:tc>
          <w:tcPr>
            <w:tcW w:w="0" w:type="auto"/>
            <w:tcBorders>
              <w:bottom w:val="single" w:sz="4" w:space="0" w:color="000000"/>
            </w:tcBorders>
            <w:shd w:val="clear" w:color="auto" w:fill="auto"/>
          </w:tcPr>
          <w:p w14:paraId="3A8DDF24" w14:textId="77777777" w:rsidR="00B50826" w:rsidRDefault="00006AE2">
            <w:pPr>
              <w:tabs>
                <w:tab w:val="left" w:pos="900"/>
              </w:tabs>
              <w:spacing w:before="60" w:after="60"/>
              <w:ind w:left="318" w:hanging="284"/>
              <w:rPr>
                <w:rFonts w:ascii="Arial" w:eastAsia="Arial" w:hAnsi="Arial" w:cs="Arial"/>
                <w:i/>
                <w:color w:val="002060"/>
                <w:sz w:val="18"/>
                <w:szCs w:val="18"/>
              </w:rPr>
            </w:pPr>
            <w:r>
              <w:rPr>
                <w:rFonts w:ascii="Arial" w:eastAsia="Arial" w:hAnsi="Arial" w:cs="Arial"/>
                <w:color w:val="002060"/>
                <w:sz w:val="18"/>
                <w:szCs w:val="18"/>
              </w:rPr>
              <w:t>1.11 En la propuesta, resultado de actividades de desarrollo secundarios o consecuentes que podría conducir a efectos sociales y ambientales adversos, o sería generar impactos acumulativos con otras actividades existentes o previstas conocidos en el área?</w:t>
            </w:r>
            <w:r>
              <w:rPr>
                <w:rFonts w:ascii="Arial" w:eastAsia="Arial" w:hAnsi="Arial" w:cs="Arial"/>
                <w:color w:val="002060"/>
                <w:sz w:val="18"/>
                <w:szCs w:val="18"/>
              </w:rPr>
              <w:tab/>
            </w:r>
          </w:p>
        </w:tc>
        <w:tc>
          <w:tcPr>
            <w:tcW w:w="0" w:type="auto"/>
            <w:tcBorders>
              <w:bottom w:val="single" w:sz="4" w:space="0" w:color="000000"/>
            </w:tcBorders>
            <w:shd w:val="clear" w:color="auto" w:fill="auto"/>
          </w:tcPr>
          <w:p w14:paraId="6FB63687"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5092A03F" w14:textId="77777777">
        <w:trPr>
          <w:trHeight w:val="530"/>
        </w:trPr>
        <w:tc>
          <w:tcPr>
            <w:tcW w:w="0" w:type="auto"/>
            <w:tcBorders>
              <w:bottom w:val="single" w:sz="4" w:space="0" w:color="000000"/>
            </w:tcBorders>
            <w:shd w:val="clear" w:color="auto" w:fill="D9E2F3"/>
            <w:vAlign w:val="center"/>
          </w:tcPr>
          <w:p w14:paraId="661EEE27" w14:textId="77777777" w:rsidR="00B50826" w:rsidRDefault="00006AE2">
            <w:pPr>
              <w:tabs>
                <w:tab w:val="left" w:pos="555"/>
              </w:tabs>
              <w:spacing w:before="120" w:after="120"/>
              <w:ind w:left="318" w:hanging="284"/>
              <w:rPr>
                <w:rFonts w:ascii="Arial" w:eastAsia="Arial" w:hAnsi="Arial" w:cs="Arial"/>
                <w:b/>
                <w:color w:val="002060"/>
                <w:sz w:val="18"/>
                <w:szCs w:val="18"/>
              </w:rPr>
            </w:pPr>
            <w:r>
              <w:rPr>
                <w:rFonts w:ascii="Arial" w:eastAsia="Arial" w:hAnsi="Arial" w:cs="Arial"/>
                <w:b/>
                <w:color w:val="002060"/>
                <w:sz w:val="18"/>
                <w:szCs w:val="18"/>
              </w:rPr>
              <w:t>Estándar 2: Mitigación del Cambio Climático y Adaptación.</w:t>
            </w:r>
          </w:p>
        </w:tc>
        <w:tc>
          <w:tcPr>
            <w:tcW w:w="0" w:type="auto"/>
            <w:tcBorders>
              <w:bottom w:val="single" w:sz="4" w:space="0" w:color="000000"/>
            </w:tcBorders>
            <w:shd w:val="clear" w:color="auto" w:fill="D9E2F3"/>
          </w:tcPr>
          <w:p w14:paraId="4BA33E1C" w14:textId="77777777" w:rsidR="00B50826" w:rsidRDefault="00B50826">
            <w:pPr>
              <w:tabs>
                <w:tab w:val="left" w:pos="585"/>
              </w:tabs>
              <w:spacing w:before="60" w:after="60"/>
              <w:ind w:left="567" w:hanging="567"/>
              <w:rPr>
                <w:rFonts w:ascii="Arial" w:eastAsia="Arial" w:hAnsi="Arial" w:cs="Arial"/>
                <w:color w:val="002060"/>
                <w:sz w:val="20"/>
                <w:szCs w:val="20"/>
              </w:rPr>
            </w:pPr>
          </w:p>
        </w:tc>
      </w:tr>
      <w:tr w:rsidR="00B50826" w14:paraId="5A38F42F" w14:textId="77777777">
        <w:tc>
          <w:tcPr>
            <w:tcW w:w="0" w:type="auto"/>
            <w:tcBorders>
              <w:bottom w:val="single" w:sz="4" w:space="0" w:color="000000"/>
            </w:tcBorders>
            <w:shd w:val="clear" w:color="auto" w:fill="auto"/>
          </w:tcPr>
          <w:p w14:paraId="241A7631" w14:textId="77777777" w:rsidR="00B50826" w:rsidRDefault="00006AE2">
            <w:pPr>
              <w:tabs>
                <w:tab w:val="left" w:pos="585"/>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2.1 Implica la implementación de la propuesta consecuencias significativas</w:t>
            </w:r>
            <w:r>
              <w:rPr>
                <w:rFonts w:ascii="Arial" w:eastAsia="Arial" w:hAnsi="Arial" w:cs="Arial"/>
                <w:color w:val="002060"/>
                <w:sz w:val="18"/>
                <w:szCs w:val="18"/>
                <w:vertAlign w:val="superscript"/>
              </w:rPr>
              <w:footnoteReference w:id="49"/>
            </w:r>
            <w:r>
              <w:rPr>
                <w:rFonts w:ascii="Arial" w:eastAsia="Arial" w:hAnsi="Arial" w:cs="Arial"/>
                <w:color w:val="002060"/>
                <w:sz w:val="18"/>
                <w:szCs w:val="18"/>
              </w:rPr>
              <w:t xml:space="preserve"> en emisiones de gases de efecto invernadero o puede exacerbar el cambio climático?</w:t>
            </w:r>
          </w:p>
        </w:tc>
        <w:tc>
          <w:tcPr>
            <w:tcW w:w="0" w:type="auto"/>
            <w:tcBorders>
              <w:bottom w:val="single" w:sz="4" w:space="0" w:color="000000"/>
            </w:tcBorders>
            <w:shd w:val="clear" w:color="auto" w:fill="auto"/>
          </w:tcPr>
          <w:p w14:paraId="2634FF75"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9BB57E3" w14:textId="77777777">
        <w:tc>
          <w:tcPr>
            <w:tcW w:w="0" w:type="auto"/>
            <w:tcBorders>
              <w:bottom w:val="single" w:sz="4" w:space="0" w:color="000000"/>
            </w:tcBorders>
            <w:shd w:val="clear" w:color="auto" w:fill="auto"/>
          </w:tcPr>
          <w:p w14:paraId="55FC9041" w14:textId="77777777" w:rsidR="00B50826" w:rsidRDefault="00006AE2">
            <w:pPr>
              <w:tabs>
                <w:tab w:val="left" w:pos="585"/>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2.2</w:t>
            </w:r>
            <w:r>
              <w:rPr>
                <w:rFonts w:ascii="Arial" w:eastAsia="Arial" w:hAnsi="Arial" w:cs="Arial"/>
                <w:color w:val="002060"/>
                <w:sz w:val="18"/>
                <w:szCs w:val="18"/>
              </w:rPr>
              <w:tab/>
              <w:t xml:space="preserve">¿Haría los posibles resultados de la propuesta sea sensible o vulnerable a los impactos potenciales del cambio climático? </w:t>
            </w:r>
          </w:p>
        </w:tc>
        <w:tc>
          <w:tcPr>
            <w:tcW w:w="0" w:type="auto"/>
            <w:tcBorders>
              <w:bottom w:val="single" w:sz="4" w:space="0" w:color="000000"/>
            </w:tcBorders>
            <w:shd w:val="clear" w:color="auto" w:fill="auto"/>
          </w:tcPr>
          <w:p w14:paraId="5536FE01"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CE42A79" w14:textId="77777777">
        <w:tc>
          <w:tcPr>
            <w:tcW w:w="0" w:type="auto"/>
            <w:tcBorders>
              <w:bottom w:val="single" w:sz="4" w:space="0" w:color="000000"/>
            </w:tcBorders>
            <w:shd w:val="clear" w:color="auto" w:fill="auto"/>
          </w:tcPr>
          <w:p w14:paraId="63276C0A" w14:textId="77777777" w:rsidR="00B50826" w:rsidRDefault="00006AE2">
            <w:pPr>
              <w:tabs>
                <w:tab w:val="left" w:pos="585"/>
              </w:tabs>
              <w:spacing w:before="60" w:after="60"/>
              <w:ind w:left="318" w:hanging="284"/>
              <w:rPr>
                <w:rFonts w:ascii="Arial" w:eastAsia="Arial" w:hAnsi="Arial" w:cs="Arial"/>
                <w:color w:val="002060"/>
                <w:sz w:val="18"/>
                <w:szCs w:val="18"/>
              </w:rPr>
            </w:pPr>
            <w:r>
              <w:rPr>
                <w:rFonts w:ascii="Arial" w:eastAsia="Arial" w:hAnsi="Arial" w:cs="Arial"/>
                <w:color w:val="002060"/>
                <w:sz w:val="18"/>
                <w:szCs w:val="18"/>
              </w:rPr>
              <w:t>2.3</w:t>
            </w:r>
            <w:r>
              <w:rPr>
                <w:rFonts w:ascii="Arial" w:eastAsia="Arial" w:hAnsi="Arial" w:cs="Arial"/>
                <w:color w:val="002060"/>
                <w:sz w:val="18"/>
                <w:szCs w:val="18"/>
              </w:rPr>
              <w:tab/>
              <w:t xml:space="preserve">Es probable que la implementación de la propuesta aumente directa o indirectamente social y/o ambientalmente </w:t>
            </w:r>
            <w:hyperlink w:anchor="bookmark=id.2jxsxqh">
              <w:r>
                <w:rPr>
                  <w:rFonts w:ascii="Arial" w:eastAsia="Arial" w:hAnsi="Arial" w:cs="Arial"/>
                  <w:color w:val="002060"/>
                  <w:sz w:val="18"/>
                  <w:szCs w:val="18"/>
                </w:rPr>
                <w:t>la vulnerabilidad al cambio climático</w:t>
              </w:r>
            </w:hyperlink>
            <w:r>
              <w:rPr>
                <w:rFonts w:ascii="Arial" w:eastAsia="Arial" w:hAnsi="Arial" w:cs="Arial"/>
                <w:color w:val="002060"/>
                <w:sz w:val="18"/>
                <w:szCs w:val="18"/>
              </w:rPr>
              <w:t xml:space="preserve"> ahora o en el futuro (también conocido como prácticas de mala adaptación)?</w:t>
            </w:r>
          </w:p>
        </w:tc>
        <w:tc>
          <w:tcPr>
            <w:tcW w:w="0" w:type="auto"/>
            <w:tcBorders>
              <w:bottom w:val="single" w:sz="4" w:space="0" w:color="000000"/>
            </w:tcBorders>
            <w:shd w:val="clear" w:color="auto" w:fill="auto"/>
          </w:tcPr>
          <w:p w14:paraId="7A68ADE5"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584C47ED" w14:textId="77777777">
        <w:trPr>
          <w:trHeight w:val="195"/>
        </w:trPr>
        <w:tc>
          <w:tcPr>
            <w:tcW w:w="0" w:type="auto"/>
            <w:tcBorders>
              <w:bottom w:val="single" w:sz="4" w:space="0" w:color="000000"/>
            </w:tcBorders>
            <w:shd w:val="clear" w:color="auto" w:fill="D9E2F3"/>
            <w:vAlign w:val="center"/>
          </w:tcPr>
          <w:p w14:paraId="783E163B" w14:textId="77777777" w:rsidR="00B50826" w:rsidRDefault="00006AE2">
            <w:pPr>
              <w:tabs>
                <w:tab w:val="left" w:pos="0"/>
                <w:tab w:val="left" w:pos="555"/>
              </w:tabs>
              <w:spacing w:before="60" w:after="60"/>
              <w:ind w:left="318" w:hanging="284"/>
              <w:rPr>
                <w:rFonts w:ascii="Arial" w:eastAsia="Arial" w:hAnsi="Arial" w:cs="Arial"/>
                <w:b/>
                <w:color w:val="002060"/>
                <w:sz w:val="18"/>
                <w:szCs w:val="18"/>
              </w:rPr>
            </w:pPr>
            <w:r>
              <w:rPr>
                <w:rFonts w:ascii="Arial" w:eastAsia="Arial" w:hAnsi="Arial" w:cs="Arial"/>
                <w:b/>
                <w:color w:val="002060"/>
                <w:sz w:val="18"/>
                <w:szCs w:val="18"/>
              </w:rPr>
              <w:t>Estándar 3: Salud de la Comunidad, de seguridad y de Trabajo.</w:t>
            </w:r>
          </w:p>
        </w:tc>
        <w:tc>
          <w:tcPr>
            <w:tcW w:w="0" w:type="auto"/>
            <w:tcBorders>
              <w:bottom w:val="single" w:sz="4" w:space="0" w:color="000000"/>
            </w:tcBorders>
            <w:shd w:val="clear" w:color="auto" w:fill="D9E2F3"/>
            <w:vAlign w:val="center"/>
          </w:tcPr>
          <w:p w14:paraId="00E7D112" w14:textId="77777777" w:rsidR="00B50826" w:rsidRDefault="00B50826">
            <w:pPr>
              <w:tabs>
                <w:tab w:val="left" w:pos="585"/>
              </w:tabs>
              <w:spacing w:before="60" w:after="60"/>
              <w:ind w:left="567" w:hanging="567"/>
              <w:jc w:val="center"/>
              <w:rPr>
                <w:rFonts w:ascii="Arial" w:eastAsia="Arial" w:hAnsi="Arial" w:cs="Arial"/>
                <w:color w:val="002060"/>
                <w:sz w:val="20"/>
                <w:szCs w:val="20"/>
              </w:rPr>
            </w:pPr>
          </w:p>
        </w:tc>
      </w:tr>
      <w:tr w:rsidR="00B50826" w14:paraId="666B68E2" w14:textId="77777777">
        <w:tc>
          <w:tcPr>
            <w:tcW w:w="0" w:type="auto"/>
            <w:tcBorders>
              <w:bottom w:val="single" w:sz="4" w:space="0" w:color="000000"/>
            </w:tcBorders>
            <w:shd w:val="clear" w:color="auto" w:fill="auto"/>
          </w:tcPr>
          <w:p w14:paraId="01702545"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t>3.1</w:t>
            </w:r>
            <w:r>
              <w:rPr>
                <w:rFonts w:ascii="Arial" w:eastAsia="Arial" w:hAnsi="Arial" w:cs="Arial"/>
                <w:color w:val="002060"/>
                <w:sz w:val="18"/>
                <w:szCs w:val="18"/>
              </w:rPr>
              <w:tab/>
              <w:t>En la elaboración, implementación o clausura de la propuesta se plantean riesgos potenciales de seguridad para las comunidades locales?</w:t>
            </w:r>
          </w:p>
        </w:tc>
        <w:tc>
          <w:tcPr>
            <w:tcW w:w="0" w:type="auto"/>
            <w:tcBorders>
              <w:bottom w:val="single" w:sz="4" w:space="0" w:color="000000"/>
            </w:tcBorders>
            <w:shd w:val="clear" w:color="auto" w:fill="auto"/>
          </w:tcPr>
          <w:p w14:paraId="465282A9"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56054D81" w14:textId="77777777">
        <w:tc>
          <w:tcPr>
            <w:tcW w:w="0" w:type="auto"/>
            <w:tcBorders>
              <w:bottom w:val="single" w:sz="4" w:space="0" w:color="000000"/>
            </w:tcBorders>
            <w:shd w:val="clear" w:color="auto" w:fill="auto"/>
          </w:tcPr>
          <w:p w14:paraId="41A38316"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t>3.2</w:t>
            </w:r>
            <w:r>
              <w:rPr>
                <w:rFonts w:ascii="Arial" w:eastAsia="Arial" w:hAnsi="Arial" w:cs="Arial"/>
                <w:color w:val="002060"/>
                <w:sz w:val="18"/>
                <w:szCs w:val="18"/>
              </w:rPr>
              <w:tab/>
              <w:t>La propuesta presentaría riesgos potenciales para la salud y la seguridad de la comunidad debido al transporte, el almacenamiento y el uso y / o eliminación de materiales peligrosos?</w:t>
            </w:r>
          </w:p>
        </w:tc>
        <w:tc>
          <w:tcPr>
            <w:tcW w:w="0" w:type="auto"/>
            <w:tcBorders>
              <w:bottom w:val="single" w:sz="4" w:space="0" w:color="000000"/>
            </w:tcBorders>
            <w:shd w:val="clear" w:color="auto" w:fill="auto"/>
          </w:tcPr>
          <w:p w14:paraId="38E8CCCB"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B435D30" w14:textId="77777777">
        <w:tc>
          <w:tcPr>
            <w:tcW w:w="0" w:type="auto"/>
            <w:tcBorders>
              <w:bottom w:val="single" w:sz="4" w:space="0" w:color="000000"/>
            </w:tcBorders>
            <w:shd w:val="clear" w:color="auto" w:fill="auto"/>
          </w:tcPr>
          <w:p w14:paraId="247B2BD3"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t>3.3</w:t>
            </w:r>
            <w:r>
              <w:rPr>
                <w:rFonts w:ascii="Arial" w:eastAsia="Arial" w:hAnsi="Arial" w:cs="Arial"/>
                <w:color w:val="002060"/>
                <w:sz w:val="18"/>
                <w:szCs w:val="18"/>
              </w:rPr>
              <w:tab/>
              <w:t>¿Se prevé el desarrollo de infraestructura a gran escala (por ejemplo, presas, carreteras, edificios)?</w:t>
            </w:r>
          </w:p>
        </w:tc>
        <w:tc>
          <w:tcPr>
            <w:tcW w:w="0" w:type="auto"/>
            <w:tcBorders>
              <w:bottom w:val="single" w:sz="4" w:space="0" w:color="000000"/>
            </w:tcBorders>
            <w:shd w:val="clear" w:color="auto" w:fill="auto"/>
          </w:tcPr>
          <w:p w14:paraId="244D0EF4"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52D84680" w14:textId="77777777">
        <w:tc>
          <w:tcPr>
            <w:tcW w:w="0" w:type="auto"/>
            <w:tcBorders>
              <w:bottom w:val="single" w:sz="4" w:space="0" w:color="000000"/>
            </w:tcBorders>
            <w:shd w:val="clear" w:color="auto" w:fill="auto"/>
          </w:tcPr>
          <w:p w14:paraId="225ADD45"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t>3.4</w:t>
            </w:r>
            <w:r>
              <w:rPr>
                <w:rFonts w:ascii="Arial" w:eastAsia="Arial" w:hAnsi="Arial" w:cs="Arial"/>
                <w:color w:val="002060"/>
                <w:sz w:val="18"/>
                <w:szCs w:val="18"/>
              </w:rPr>
              <w:tab/>
              <w:t>Haría falta de elementos estructurales en la propuesta, porque plantea riesgos para las comunidades? (Por ejemplo, el colapso de edificios o infraestructuras)</w:t>
            </w:r>
          </w:p>
        </w:tc>
        <w:tc>
          <w:tcPr>
            <w:tcW w:w="0" w:type="auto"/>
            <w:tcBorders>
              <w:bottom w:val="single" w:sz="4" w:space="0" w:color="000000"/>
            </w:tcBorders>
            <w:shd w:val="clear" w:color="auto" w:fill="auto"/>
          </w:tcPr>
          <w:p w14:paraId="12E769F3"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E87FB83" w14:textId="77777777">
        <w:tc>
          <w:tcPr>
            <w:tcW w:w="0" w:type="auto"/>
            <w:tcBorders>
              <w:bottom w:val="single" w:sz="4" w:space="0" w:color="000000"/>
            </w:tcBorders>
            <w:shd w:val="clear" w:color="auto" w:fill="auto"/>
          </w:tcPr>
          <w:p w14:paraId="4E157151"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t>3.5</w:t>
            </w:r>
            <w:r>
              <w:rPr>
                <w:rFonts w:ascii="Arial" w:eastAsia="Arial" w:hAnsi="Arial" w:cs="Arial"/>
                <w:color w:val="002060"/>
                <w:sz w:val="18"/>
                <w:szCs w:val="18"/>
              </w:rPr>
              <w:tab/>
              <w:t>Sería la propuesta susceptible o que conducen a una mayor vulnerabilidad a los terremotos, hundimientos, deslizamientos, erosión, inundaciones o condiciones climáticas extremas?</w:t>
            </w:r>
          </w:p>
        </w:tc>
        <w:tc>
          <w:tcPr>
            <w:tcW w:w="0" w:type="auto"/>
            <w:tcBorders>
              <w:bottom w:val="single" w:sz="4" w:space="0" w:color="000000"/>
            </w:tcBorders>
            <w:shd w:val="clear" w:color="auto" w:fill="auto"/>
          </w:tcPr>
          <w:p w14:paraId="27A921F2"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D80E4D0" w14:textId="77777777">
        <w:tc>
          <w:tcPr>
            <w:tcW w:w="0" w:type="auto"/>
            <w:tcBorders>
              <w:bottom w:val="single" w:sz="4" w:space="0" w:color="000000"/>
            </w:tcBorders>
            <w:shd w:val="clear" w:color="auto" w:fill="auto"/>
          </w:tcPr>
          <w:p w14:paraId="61C885B6"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lastRenderedPageBreak/>
              <w:t>3.6</w:t>
            </w:r>
            <w:r>
              <w:rPr>
                <w:rFonts w:ascii="Arial" w:eastAsia="Arial" w:hAnsi="Arial" w:cs="Arial"/>
                <w:color w:val="002060"/>
                <w:sz w:val="18"/>
                <w:szCs w:val="18"/>
              </w:rPr>
              <w:tab/>
              <w:t>Generarían los resultados de la propuesta en potenciales mayores riesgos de salud (por ejemplo, de u otras enfermedades transmitidas por vectores transmitidas por el agua o infecciones transmisibles como el VIH / SIDA)?</w:t>
            </w:r>
          </w:p>
        </w:tc>
        <w:tc>
          <w:tcPr>
            <w:tcW w:w="0" w:type="auto"/>
            <w:tcBorders>
              <w:bottom w:val="single" w:sz="4" w:space="0" w:color="000000"/>
            </w:tcBorders>
            <w:shd w:val="clear" w:color="auto" w:fill="auto"/>
          </w:tcPr>
          <w:p w14:paraId="64BE8F00"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258346C" w14:textId="77777777">
        <w:tc>
          <w:tcPr>
            <w:tcW w:w="0" w:type="auto"/>
            <w:tcBorders>
              <w:bottom w:val="single" w:sz="4" w:space="0" w:color="000000"/>
            </w:tcBorders>
            <w:shd w:val="clear" w:color="auto" w:fill="auto"/>
          </w:tcPr>
          <w:p w14:paraId="54D6FC64" w14:textId="77777777" w:rsidR="00B50826" w:rsidRDefault="00006AE2">
            <w:pPr>
              <w:tabs>
                <w:tab w:val="left" w:pos="585"/>
              </w:tabs>
              <w:spacing w:before="60" w:after="60"/>
              <w:ind w:left="318" w:hanging="284"/>
              <w:jc w:val="both"/>
              <w:rPr>
                <w:rFonts w:ascii="Arial" w:eastAsia="Arial" w:hAnsi="Arial" w:cs="Arial"/>
                <w:color w:val="002060"/>
                <w:sz w:val="18"/>
                <w:szCs w:val="18"/>
              </w:rPr>
            </w:pPr>
            <w:r>
              <w:rPr>
                <w:rFonts w:ascii="Arial" w:eastAsia="Arial" w:hAnsi="Arial" w:cs="Arial"/>
                <w:color w:val="002060"/>
                <w:sz w:val="18"/>
                <w:szCs w:val="18"/>
              </w:rPr>
              <w:t>3.7</w:t>
            </w:r>
            <w:r>
              <w:rPr>
                <w:rFonts w:ascii="Arial" w:eastAsia="Arial" w:hAnsi="Arial" w:cs="Arial"/>
                <w:color w:val="002060"/>
                <w:sz w:val="18"/>
                <w:szCs w:val="18"/>
              </w:rPr>
              <w:tab/>
              <w:t>¿La propuesta plantea riesgos potenciales y las vulnerabilidades relacionadas con la salud y seguridad en el trabajo debido a características físicas, químicas, biológicas, radiológicas y los riesgos durante la construcción propuesta, el funcionamiento o desmantelamiento?</w:t>
            </w:r>
          </w:p>
        </w:tc>
        <w:tc>
          <w:tcPr>
            <w:tcW w:w="0" w:type="auto"/>
            <w:tcBorders>
              <w:bottom w:val="single" w:sz="4" w:space="0" w:color="000000"/>
            </w:tcBorders>
            <w:shd w:val="clear" w:color="auto" w:fill="auto"/>
          </w:tcPr>
          <w:p w14:paraId="569D79D8"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ABD7947" w14:textId="77777777">
        <w:tc>
          <w:tcPr>
            <w:tcW w:w="0" w:type="auto"/>
            <w:tcBorders>
              <w:bottom w:val="single" w:sz="4" w:space="0" w:color="000000"/>
            </w:tcBorders>
            <w:shd w:val="clear" w:color="auto" w:fill="auto"/>
          </w:tcPr>
          <w:p w14:paraId="3CE01516"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3.8</w:t>
            </w:r>
            <w:r>
              <w:rPr>
                <w:rFonts w:ascii="Arial" w:eastAsia="Arial" w:hAnsi="Arial" w:cs="Arial"/>
                <w:color w:val="002060"/>
                <w:sz w:val="18"/>
                <w:szCs w:val="18"/>
              </w:rPr>
              <w:tab/>
              <w:t>¿Se prevé la ayuda para el empleo o medios de vida que pueden dejar de cumplir con las normas nacionales e internacionales del trabajo (es decir, los principios y las normas de los convenios fundamentales de la OIT)?</w:t>
            </w:r>
          </w:p>
        </w:tc>
        <w:tc>
          <w:tcPr>
            <w:tcW w:w="0" w:type="auto"/>
            <w:tcBorders>
              <w:bottom w:val="single" w:sz="4" w:space="0" w:color="000000"/>
            </w:tcBorders>
            <w:shd w:val="clear" w:color="auto" w:fill="auto"/>
          </w:tcPr>
          <w:p w14:paraId="7B95BE96"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C9ECB01" w14:textId="77777777">
        <w:tc>
          <w:tcPr>
            <w:tcW w:w="0" w:type="auto"/>
            <w:tcBorders>
              <w:bottom w:val="single" w:sz="4" w:space="0" w:color="000000"/>
            </w:tcBorders>
            <w:shd w:val="clear" w:color="auto" w:fill="auto"/>
          </w:tcPr>
          <w:p w14:paraId="11E26B24"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3.9</w:t>
            </w:r>
            <w:r>
              <w:rPr>
                <w:rFonts w:ascii="Arial" w:eastAsia="Arial" w:hAnsi="Arial" w:cs="Arial"/>
                <w:color w:val="002060"/>
                <w:sz w:val="18"/>
                <w:szCs w:val="18"/>
              </w:rPr>
              <w:tab/>
              <w:t>¿La propuesta plantea contratar personal de seguridad que puedan representar un riesgo potencial para la salud y la seguridad de las comunidades y/o individuos (por ejemplo, debido a la falta de formación adecuada o la rendición de cuentas)?</w:t>
            </w:r>
          </w:p>
        </w:tc>
        <w:tc>
          <w:tcPr>
            <w:tcW w:w="0" w:type="auto"/>
            <w:tcBorders>
              <w:bottom w:val="single" w:sz="4" w:space="0" w:color="000000"/>
            </w:tcBorders>
            <w:shd w:val="clear" w:color="auto" w:fill="auto"/>
          </w:tcPr>
          <w:p w14:paraId="36350F75"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C58EA55" w14:textId="77777777">
        <w:trPr>
          <w:trHeight w:val="503"/>
        </w:trPr>
        <w:tc>
          <w:tcPr>
            <w:tcW w:w="0" w:type="auto"/>
            <w:tcBorders>
              <w:bottom w:val="single" w:sz="4" w:space="0" w:color="000000"/>
            </w:tcBorders>
            <w:shd w:val="clear" w:color="auto" w:fill="D9E2F3"/>
            <w:vAlign w:val="center"/>
          </w:tcPr>
          <w:p w14:paraId="62DEB47C" w14:textId="77777777" w:rsidR="00B50826" w:rsidRDefault="00006AE2">
            <w:pPr>
              <w:tabs>
                <w:tab w:val="left" w:pos="0"/>
                <w:tab w:val="left" w:pos="555"/>
              </w:tabs>
              <w:spacing w:before="60" w:after="60"/>
              <w:rPr>
                <w:rFonts w:ascii="Arial" w:eastAsia="Arial" w:hAnsi="Arial" w:cs="Arial"/>
                <w:b/>
                <w:color w:val="002060"/>
                <w:sz w:val="20"/>
                <w:szCs w:val="20"/>
              </w:rPr>
            </w:pPr>
            <w:r>
              <w:rPr>
                <w:rFonts w:ascii="Arial" w:eastAsia="Arial" w:hAnsi="Arial" w:cs="Arial"/>
                <w:b/>
                <w:color w:val="002060"/>
                <w:sz w:val="20"/>
                <w:szCs w:val="20"/>
              </w:rPr>
              <w:t>Estándar 4: Patrimonio cultural.</w:t>
            </w:r>
          </w:p>
        </w:tc>
        <w:tc>
          <w:tcPr>
            <w:tcW w:w="0" w:type="auto"/>
            <w:tcBorders>
              <w:bottom w:val="single" w:sz="4" w:space="0" w:color="000000"/>
            </w:tcBorders>
            <w:shd w:val="clear" w:color="auto" w:fill="D9E2F3"/>
            <w:vAlign w:val="center"/>
          </w:tcPr>
          <w:p w14:paraId="14BEF20F" w14:textId="77777777" w:rsidR="00B50826" w:rsidRDefault="00B50826">
            <w:pPr>
              <w:tabs>
                <w:tab w:val="left" w:pos="585"/>
              </w:tabs>
              <w:spacing w:before="60" w:after="60"/>
              <w:ind w:left="567" w:hanging="567"/>
              <w:jc w:val="center"/>
              <w:rPr>
                <w:rFonts w:ascii="Arial" w:eastAsia="Arial" w:hAnsi="Arial" w:cs="Arial"/>
                <w:color w:val="002060"/>
                <w:sz w:val="20"/>
                <w:szCs w:val="20"/>
              </w:rPr>
            </w:pPr>
          </w:p>
        </w:tc>
      </w:tr>
      <w:tr w:rsidR="00B50826" w14:paraId="3238A879" w14:textId="77777777">
        <w:tc>
          <w:tcPr>
            <w:tcW w:w="0" w:type="auto"/>
            <w:tcBorders>
              <w:bottom w:val="single" w:sz="4" w:space="0" w:color="000000"/>
            </w:tcBorders>
            <w:shd w:val="clear" w:color="auto" w:fill="auto"/>
          </w:tcPr>
          <w:p w14:paraId="7A22CA9E"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4.1</w:t>
            </w:r>
            <w:r>
              <w:rPr>
                <w:rFonts w:ascii="Arial" w:eastAsia="Arial" w:hAnsi="Arial" w:cs="Arial"/>
                <w:color w:val="002060"/>
                <w:sz w:val="18"/>
                <w:szCs w:val="18"/>
              </w:rPr>
              <w:tab/>
              <w:t>Implica la acción de la propuesta resultado de las intervenciones que potencialmente afecten negativamente sitios, estructuras u objetos con los valores históricos, culturales, artísticos, tradicionales o religiosas o formas intangibles de la cultura (por ejemplo, los conocimientos, las innovaciones, prácticas, etc.)? (Nota: Las propuestas destinadas a proteger y conservar el patrimonio cultural también puede tener impactos adversos involuntarios)</w:t>
            </w:r>
          </w:p>
        </w:tc>
        <w:tc>
          <w:tcPr>
            <w:tcW w:w="0" w:type="auto"/>
            <w:tcBorders>
              <w:bottom w:val="single" w:sz="4" w:space="0" w:color="000000"/>
            </w:tcBorders>
            <w:shd w:val="clear" w:color="auto" w:fill="auto"/>
          </w:tcPr>
          <w:p w14:paraId="23C40676" w14:textId="77777777" w:rsidR="00B50826" w:rsidRDefault="00006AE2">
            <w:pPr>
              <w:tabs>
                <w:tab w:val="left" w:pos="585"/>
              </w:tabs>
              <w:spacing w:before="60" w:after="60"/>
              <w:ind w:left="567" w:hanging="567"/>
              <w:jc w:val="center"/>
              <w:rPr>
                <w:rFonts w:ascii="Arial" w:eastAsia="Arial" w:hAnsi="Arial" w:cs="Arial"/>
                <w:color w:val="002060"/>
                <w:sz w:val="18"/>
                <w:szCs w:val="18"/>
              </w:rPr>
            </w:pPr>
            <w:r>
              <w:rPr>
                <w:rFonts w:ascii="Arial" w:eastAsia="Arial" w:hAnsi="Arial" w:cs="Arial"/>
                <w:color w:val="002060"/>
                <w:sz w:val="18"/>
                <w:szCs w:val="18"/>
              </w:rPr>
              <w:t>No</w:t>
            </w:r>
          </w:p>
        </w:tc>
      </w:tr>
      <w:tr w:rsidR="00B50826" w14:paraId="4091AE9C" w14:textId="77777777">
        <w:tc>
          <w:tcPr>
            <w:tcW w:w="0" w:type="auto"/>
            <w:tcBorders>
              <w:bottom w:val="single" w:sz="4" w:space="0" w:color="000000"/>
            </w:tcBorders>
            <w:shd w:val="clear" w:color="auto" w:fill="auto"/>
          </w:tcPr>
          <w:p w14:paraId="42A3E7FF" w14:textId="77777777" w:rsidR="00B50826" w:rsidRDefault="00006AE2">
            <w:pPr>
              <w:tabs>
                <w:tab w:val="left" w:pos="585"/>
              </w:tabs>
              <w:spacing w:before="60" w:after="60"/>
              <w:ind w:left="567" w:hanging="567"/>
              <w:rPr>
                <w:rFonts w:ascii="Arial" w:eastAsia="Arial" w:hAnsi="Arial" w:cs="Arial"/>
                <w:b/>
                <w:color w:val="002060"/>
                <w:sz w:val="18"/>
                <w:szCs w:val="18"/>
              </w:rPr>
            </w:pPr>
            <w:r>
              <w:rPr>
                <w:rFonts w:ascii="Arial" w:eastAsia="Arial" w:hAnsi="Arial" w:cs="Arial"/>
                <w:color w:val="002060"/>
                <w:sz w:val="18"/>
                <w:szCs w:val="18"/>
              </w:rPr>
              <w:t>4.2</w:t>
            </w:r>
            <w:r>
              <w:rPr>
                <w:rFonts w:ascii="Arial" w:eastAsia="Arial" w:hAnsi="Arial" w:cs="Arial"/>
                <w:color w:val="002060"/>
                <w:sz w:val="18"/>
                <w:szCs w:val="18"/>
              </w:rPr>
              <w:tab/>
              <w:t>¿La propuesta propone la utilización de formas tangibles y/o intangibles del patrimonio cultural con fines comerciales o de otro tipo?</w:t>
            </w:r>
          </w:p>
        </w:tc>
        <w:tc>
          <w:tcPr>
            <w:tcW w:w="0" w:type="auto"/>
            <w:tcBorders>
              <w:bottom w:val="single" w:sz="4" w:space="0" w:color="000000"/>
            </w:tcBorders>
            <w:shd w:val="clear" w:color="auto" w:fill="auto"/>
          </w:tcPr>
          <w:p w14:paraId="25080AC3" w14:textId="77777777" w:rsidR="00B50826" w:rsidRDefault="00006AE2">
            <w:pPr>
              <w:tabs>
                <w:tab w:val="left" w:pos="585"/>
              </w:tabs>
              <w:spacing w:before="60" w:after="60"/>
              <w:ind w:left="567" w:hanging="567"/>
              <w:jc w:val="center"/>
              <w:rPr>
                <w:rFonts w:ascii="Arial" w:eastAsia="Arial" w:hAnsi="Arial" w:cs="Arial"/>
                <w:color w:val="002060"/>
                <w:sz w:val="18"/>
                <w:szCs w:val="18"/>
              </w:rPr>
            </w:pPr>
            <w:r>
              <w:rPr>
                <w:rFonts w:ascii="Arial" w:eastAsia="Arial" w:hAnsi="Arial" w:cs="Arial"/>
                <w:color w:val="002060"/>
                <w:sz w:val="18"/>
                <w:szCs w:val="18"/>
              </w:rPr>
              <w:t>No</w:t>
            </w:r>
          </w:p>
        </w:tc>
      </w:tr>
      <w:tr w:rsidR="00B50826" w14:paraId="76725292" w14:textId="77777777">
        <w:trPr>
          <w:trHeight w:val="132"/>
        </w:trPr>
        <w:tc>
          <w:tcPr>
            <w:tcW w:w="0" w:type="auto"/>
            <w:tcBorders>
              <w:bottom w:val="single" w:sz="4" w:space="0" w:color="000000"/>
            </w:tcBorders>
            <w:shd w:val="clear" w:color="auto" w:fill="D9E2F3"/>
            <w:vAlign w:val="center"/>
          </w:tcPr>
          <w:p w14:paraId="2FE4735C" w14:textId="77777777" w:rsidR="00B50826" w:rsidRDefault="00006AE2">
            <w:pPr>
              <w:tabs>
                <w:tab w:val="left" w:pos="0"/>
                <w:tab w:val="left" w:pos="555"/>
              </w:tabs>
              <w:spacing w:before="60" w:after="60"/>
              <w:rPr>
                <w:rFonts w:ascii="Arial" w:eastAsia="Arial" w:hAnsi="Arial" w:cs="Arial"/>
                <w:b/>
                <w:color w:val="002060"/>
                <w:sz w:val="20"/>
                <w:szCs w:val="20"/>
              </w:rPr>
            </w:pPr>
            <w:r>
              <w:rPr>
                <w:rFonts w:ascii="Arial" w:eastAsia="Arial" w:hAnsi="Arial" w:cs="Arial"/>
                <w:b/>
                <w:color w:val="002060"/>
                <w:sz w:val="20"/>
                <w:szCs w:val="20"/>
              </w:rPr>
              <w:t>Estándar 5: Desplazamiento y Reasentamiento</w:t>
            </w:r>
          </w:p>
        </w:tc>
        <w:tc>
          <w:tcPr>
            <w:tcW w:w="0" w:type="auto"/>
            <w:tcBorders>
              <w:bottom w:val="single" w:sz="4" w:space="0" w:color="000000"/>
            </w:tcBorders>
            <w:shd w:val="clear" w:color="auto" w:fill="D9E2F3"/>
            <w:vAlign w:val="center"/>
          </w:tcPr>
          <w:p w14:paraId="6A2A5E58" w14:textId="77777777" w:rsidR="00B50826" w:rsidRDefault="00B50826">
            <w:pPr>
              <w:tabs>
                <w:tab w:val="left" w:pos="585"/>
              </w:tabs>
              <w:spacing w:before="60" w:after="60"/>
              <w:ind w:left="567" w:hanging="567"/>
              <w:jc w:val="center"/>
              <w:rPr>
                <w:rFonts w:ascii="Arial" w:eastAsia="Arial" w:hAnsi="Arial" w:cs="Arial"/>
                <w:color w:val="002060"/>
                <w:sz w:val="20"/>
                <w:szCs w:val="20"/>
              </w:rPr>
            </w:pPr>
          </w:p>
        </w:tc>
      </w:tr>
      <w:tr w:rsidR="00B50826" w14:paraId="71B60077" w14:textId="77777777">
        <w:tc>
          <w:tcPr>
            <w:tcW w:w="0" w:type="auto"/>
            <w:tcBorders>
              <w:bottom w:val="single" w:sz="4" w:space="0" w:color="000000"/>
            </w:tcBorders>
            <w:shd w:val="clear" w:color="auto" w:fill="auto"/>
          </w:tcPr>
          <w:p w14:paraId="1AD6ADDE" w14:textId="77777777" w:rsidR="00B50826" w:rsidRDefault="00006AE2">
            <w:pPr>
              <w:tabs>
                <w:tab w:val="left" w:pos="585"/>
              </w:tabs>
              <w:spacing w:before="60" w:after="60"/>
              <w:ind w:left="567" w:hanging="567"/>
              <w:rPr>
                <w:rFonts w:ascii="Arial" w:eastAsia="Arial" w:hAnsi="Arial" w:cs="Arial"/>
                <w:b/>
                <w:color w:val="002060"/>
                <w:sz w:val="20"/>
                <w:szCs w:val="20"/>
              </w:rPr>
            </w:pPr>
            <w:r>
              <w:rPr>
                <w:rFonts w:ascii="Arial" w:eastAsia="Arial" w:hAnsi="Arial" w:cs="Arial"/>
                <w:color w:val="002060"/>
                <w:sz w:val="20"/>
                <w:szCs w:val="20"/>
              </w:rPr>
              <w:t>5.1</w:t>
            </w:r>
            <w:r>
              <w:rPr>
                <w:rFonts w:ascii="Arial" w:eastAsia="Arial" w:hAnsi="Arial" w:cs="Arial"/>
                <w:color w:val="002060"/>
                <w:sz w:val="20"/>
                <w:szCs w:val="20"/>
              </w:rPr>
              <w:tab/>
              <w:t>La propuesta potencialmente implicaría el desplazamiento físico temporal o permanente y total o parcial?</w:t>
            </w:r>
          </w:p>
        </w:tc>
        <w:tc>
          <w:tcPr>
            <w:tcW w:w="0" w:type="auto"/>
            <w:tcBorders>
              <w:bottom w:val="single" w:sz="4" w:space="0" w:color="000000"/>
            </w:tcBorders>
            <w:shd w:val="clear" w:color="auto" w:fill="auto"/>
          </w:tcPr>
          <w:p w14:paraId="38D8D6D2"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13DB9CF" w14:textId="77777777">
        <w:tc>
          <w:tcPr>
            <w:tcW w:w="0" w:type="auto"/>
            <w:tcBorders>
              <w:bottom w:val="single" w:sz="4" w:space="0" w:color="000000"/>
            </w:tcBorders>
            <w:shd w:val="clear" w:color="auto" w:fill="auto"/>
          </w:tcPr>
          <w:p w14:paraId="6E3CCEB0" w14:textId="77777777" w:rsidR="00B50826" w:rsidRDefault="00006AE2">
            <w:pPr>
              <w:tabs>
                <w:tab w:val="left" w:pos="585"/>
              </w:tabs>
              <w:spacing w:before="60" w:after="60"/>
              <w:ind w:left="567" w:hanging="567"/>
              <w:rPr>
                <w:rFonts w:ascii="Arial" w:eastAsia="Arial" w:hAnsi="Arial" w:cs="Arial"/>
                <w:b/>
                <w:color w:val="002060"/>
                <w:sz w:val="20"/>
                <w:szCs w:val="20"/>
              </w:rPr>
            </w:pPr>
            <w:r>
              <w:rPr>
                <w:rFonts w:ascii="Arial" w:eastAsia="Arial" w:hAnsi="Arial" w:cs="Arial"/>
                <w:color w:val="002060"/>
                <w:sz w:val="20"/>
                <w:szCs w:val="20"/>
              </w:rPr>
              <w:t>5.2</w:t>
            </w:r>
            <w:r>
              <w:rPr>
                <w:rFonts w:ascii="Arial" w:eastAsia="Arial" w:hAnsi="Arial" w:cs="Arial"/>
                <w:color w:val="002060"/>
                <w:sz w:val="20"/>
                <w:szCs w:val="20"/>
              </w:rPr>
              <w:tab/>
              <w:t>Sería la propuesta posiblemente como resultado el desplazamiento económico (por ejemplo, pérdida de activos o el acceso a los recursos debido a la tierra restricciones de adquisición o de acceso - incluso en ausencia de la reubicación física)?</w:t>
            </w:r>
          </w:p>
        </w:tc>
        <w:tc>
          <w:tcPr>
            <w:tcW w:w="0" w:type="auto"/>
            <w:tcBorders>
              <w:bottom w:val="single" w:sz="4" w:space="0" w:color="000000"/>
            </w:tcBorders>
            <w:shd w:val="clear" w:color="auto" w:fill="auto"/>
          </w:tcPr>
          <w:p w14:paraId="2DD220B6"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ED6B2C2" w14:textId="77777777">
        <w:trPr>
          <w:trHeight w:val="278"/>
        </w:trPr>
        <w:tc>
          <w:tcPr>
            <w:tcW w:w="0" w:type="auto"/>
            <w:tcBorders>
              <w:bottom w:val="single" w:sz="4" w:space="0" w:color="000000"/>
            </w:tcBorders>
            <w:shd w:val="clear" w:color="auto" w:fill="auto"/>
          </w:tcPr>
          <w:p w14:paraId="680E3647" w14:textId="77777777" w:rsidR="00B50826" w:rsidRDefault="00006AE2">
            <w:pPr>
              <w:tabs>
                <w:tab w:val="left" w:pos="585"/>
              </w:tabs>
              <w:spacing w:before="60" w:after="60"/>
              <w:ind w:left="567" w:hanging="567"/>
              <w:rPr>
                <w:rFonts w:ascii="Arial" w:eastAsia="Arial" w:hAnsi="Arial" w:cs="Arial"/>
                <w:color w:val="002060"/>
                <w:sz w:val="20"/>
                <w:szCs w:val="20"/>
              </w:rPr>
            </w:pPr>
            <w:r>
              <w:rPr>
                <w:rFonts w:ascii="Arial" w:eastAsia="Arial" w:hAnsi="Arial" w:cs="Arial"/>
                <w:color w:val="002060"/>
                <w:sz w:val="20"/>
                <w:szCs w:val="20"/>
              </w:rPr>
              <w:t>5.3</w:t>
            </w:r>
            <w:r>
              <w:rPr>
                <w:rFonts w:ascii="Arial" w:eastAsia="Arial" w:hAnsi="Arial" w:cs="Arial"/>
                <w:color w:val="002060"/>
                <w:sz w:val="20"/>
                <w:szCs w:val="20"/>
              </w:rPr>
              <w:tab/>
              <w:t>¿Existe el riesgo de que la propuesta pueda dar lugar a desalojos forzosos?</w:t>
            </w:r>
            <w:r>
              <w:rPr>
                <w:rFonts w:ascii="Arial" w:eastAsia="Arial" w:hAnsi="Arial" w:cs="Arial"/>
                <w:color w:val="002060"/>
                <w:sz w:val="20"/>
                <w:szCs w:val="20"/>
                <w:vertAlign w:val="superscript"/>
              </w:rPr>
              <w:footnoteReference w:id="50"/>
            </w:r>
          </w:p>
        </w:tc>
        <w:tc>
          <w:tcPr>
            <w:tcW w:w="0" w:type="auto"/>
            <w:tcBorders>
              <w:bottom w:val="single" w:sz="4" w:space="0" w:color="000000"/>
            </w:tcBorders>
            <w:shd w:val="clear" w:color="auto" w:fill="auto"/>
          </w:tcPr>
          <w:p w14:paraId="04453A35"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0782A60" w14:textId="77777777">
        <w:tc>
          <w:tcPr>
            <w:tcW w:w="0" w:type="auto"/>
            <w:tcBorders>
              <w:bottom w:val="single" w:sz="4" w:space="0" w:color="000000"/>
            </w:tcBorders>
            <w:shd w:val="clear" w:color="auto" w:fill="auto"/>
          </w:tcPr>
          <w:p w14:paraId="3D949C76" w14:textId="77777777" w:rsidR="00B50826" w:rsidRDefault="00006AE2">
            <w:pPr>
              <w:tabs>
                <w:tab w:val="left" w:pos="585"/>
              </w:tabs>
              <w:spacing w:before="60" w:after="60"/>
              <w:ind w:left="567" w:hanging="567"/>
              <w:rPr>
                <w:rFonts w:ascii="Arial" w:eastAsia="Arial" w:hAnsi="Arial" w:cs="Arial"/>
                <w:color w:val="002060"/>
                <w:sz w:val="20"/>
                <w:szCs w:val="20"/>
              </w:rPr>
            </w:pPr>
            <w:r>
              <w:rPr>
                <w:rFonts w:ascii="Arial" w:eastAsia="Arial" w:hAnsi="Arial" w:cs="Arial"/>
                <w:color w:val="002060"/>
                <w:sz w:val="20"/>
                <w:szCs w:val="20"/>
              </w:rPr>
              <w:t>5.4</w:t>
            </w:r>
            <w:r>
              <w:rPr>
                <w:rFonts w:ascii="Arial" w:eastAsia="Arial" w:hAnsi="Arial" w:cs="Arial"/>
                <w:color w:val="002060"/>
                <w:sz w:val="20"/>
                <w:szCs w:val="20"/>
              </w:rPr>
              <w:tab/>
              <w:t>Existe en la propuesta la posibilidad que afectaran los regímenes de tenencia de tierras y/o derechos de propiedad basados ​​en la comunidad/derechos consuetudinarios a la tierra, territorios y / o recursos?</w:t>
            </w:r>
          </w:p>
        </w:tc>
        <w:tc>
          <w:tcPr>
            <w:tcW w:w="0" w:type="auto"/>
            <w:tcBorders>
              <w:bottom w:val="single" w:sz="4" w:space="0" w:color="000000"/>
            </w:tcBorders>
            <w:shd w:val="clear" w:color="auto" w:fill="auto"/>
          </w:tcPr>
          <w:p w14:paraId="09432892"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71C1BF8F" w14:textId="77777777">
        <w:trPr>
          <w:trHeight w:val="123"/>
        </w:trPr>
        <w:tc>
          <w:tcPr>
            <w:tcW w:w="0" w:type="auto"/>
            <w:tcBorders>
              <w:bottom w:val="single" w:sz="4" w:space="0" w:color="000000"/>
            </w:tcBorders>
            <w:shd w:val="clear" w:color="auto" w:fill="D9E2F3"/>
            <w:vAlign w:val="center"/>
          </w:tcPr>
          <w:p w14:paraId="4CFE8DB3" w14:textId="77777777" w:rsidR="00B50826" w:rsidRDefault="00006AE2">
            <w:pPr>
              <w:tabs>
                <w:tab w:val="left" w:pos="0"/>
                <w:tab w:val="left" w:pos="555"/>
              </w:tabs>
              <w:spacing w:before="60" w:after="60"/>
              <w:rPr>
                <w:rFonts w:ascii="Arial" w:eastAsia="Arial" w:hAnsi="Arial" w:cs="Arial"/>
                <w:b/>
                <w:color w:val="002060"/>
                <w:sz w:val="20"/>
                <w:szCs w:val="20"/>
              </w:rPr>
            </w:pPr>
            <w:r>
              <w:rPr>
                <w:rFonts w:ascii="Arial" w:eastAsia="Arial" w:hAnsi="Arial" w:cs="Arial"/>
                <w:b/>
                <w:color w:val="002060"/>
                <w:sz w:val="20"/>
                <w:szCs w:val="20"/>
              </w:rPr>
              <w:t>Estándar 6: Pueblos indígenas</w:t>
            </w:r>
          </w:p>
        </w:tc>
        <w:tc>
          <w:tcPr>
            <w:tcW w:w="0" w:type="auto"/>
            <w:tcBorders>
              <w:bottom w:val="single" w:sz="4" w:space="0" w:color="000000"/>
            </w:tcBorders>
            <w:shd w:val="clear" w:color="auto" w:fill="D9E2F3"/>
            <w:vAlign w:val="center"/>
          </w:tcPr>
          <w:p w14:paraId="5C8EEA5C" w14:textId="77777777" w:rsidR="00B50826" w:rsidRDefault="00B50826">
            <w:pPr>
              <w:tabs>
                <w:tab w:val="left" w:pos="585"/>
              </w:tabs>
              <w:spacing w:before="60" w:after="60"/>
              <w:ind w:left="567" w:hanging="567"/>
              <w:jc w:val="center"/>
              <w:rPr>
                <w:rFonts w:ascii="Arial" w:eastAsia="Arial" w:hAnsi="Arial" w:cs="Arial"/>
                <w:color w:val="002060"/>
                <w:sz w:val="20"/>
                <w:szCs w:val="20"/>
              </w:rPr>
            </w:pPr>
          </w:p>
        </w:tc>
      </w:tr>
      <w:tr w:rsidR="00B50826" w14:paraId="37EFA4F4" w14:textId="77777777">
        <w:trPr>
          <w:trHeight w:val="295"/>
        </w:trPr>
        <w:tc>
          <w:tcPr>
            <w:tcW w:w="0" w:type="auto"/>
            <w:tcBorders>
              <w:bottom w:val="single" w:sz="4" w:space="0" w:color="000000"/>
            </w:tcBorders>
            <w:shd w:val="clear" w:color="auto" w:fill="auto"/>
          </w:tcPr>
          <w:p w14:paraId="30DEBF9F"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6.1</w:t>
            </w:r>
            <w:r>
              <w:rPr>
                <w:rFonts w:ascii="Arial" w:eastAsia="Arial" w:hAnsi="Arial" w:cs="Arial"/>
                <w:color w:val="002060"/>
                <w:sz w:val="18"/>
                <w:szCs w:val="18"/>
              </w:rPr>
              <w:tab/>
              <w:t>Están los pueblos indígenas presentes en el área propuesta (incluyendo el área de influencia propuesta)?</w:t>
            </w:r>
          </w:p>
        </w:tc>
        <w:tc>
          <w:tcPr>
            <w:tcW w:w="0" w:type="auto"/>
            <w:tcBorders>
              <w:bottom w:val="single" w:sz="4" w:space="0" w:color="000000"/>
            </w:tcBorders>
            <w:shd w:val="clear" w:color="auto" w:fill="auto"/>
          </w:tcPr>
          <w:p w14:paraId="6C69F52D"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si</w:t>
            </w:r>
          </w:p>
        </w:tc>
      </w:tr>
      <w:tr w:rsidR="00B50826" w14:paraId="25E5E986" w14:textId="77777777">
        <w:trPr>
          <w:trHeight w:val="215"/>
        </w:trPr>
        <w:tc>
          <w:tcPr>
            <w:tcW w:w="0" w:type="auto"/>
            <w:tcBorders>
              <w:bottom w:val="single" w:sz="4" w:space="0" w:color="000000"/>
            </w:tcBorders>
            <w:shd w:val="clear" w:color="auto" w:fill="auto"/>
          </w:tcPr>
          <w:p w14:paraId="7F97E3CD"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6.2</w:t>
            </w:r>
            <w:r>
              <w:rPr>
                <w:rFonts w:ascii="Arial" w:eastAsia="Arial" w:hAnsi="Arial" w:cs="Arial"/>
                <w:color w:val="002060"/>
                <w:sz w:val="18"/>
                <w:szCs w:val="18"/>
              </w:rPr>
              <w:tab/>
              <w:t>¿Es probable que la propuesta o porciones de la misma se desarrollaran en las tierras y territorios reclamados por los pueblos indígenas?</w:t>
            </w:r>
          </w:p>
        </w:tc>
        <w:tc>
          <w:tcPr>
            <w:tcW w:w="0" w:type="auto"/>
            <w:tcBorders>
              <w:bottom w:val="single" w:sz="4" w:space="0" w:color="000000"/>
            </w:tcBorders>
            <w:shd w:val="clear" w:color="auto" w:fill="auto"/>
          </w:tcPr>
          <w:p w14:paraId="010B3466" w14:textId="77777777" w:rsidR="00B50826" w:rsidRDefault="00006AE2">
            <w:pPr>
              <w:tabs>
                <w:tab w:val="left" w:pos="585"/>
              </w:tabs>
              <w:spacing w:before="60" w:after="60"/>
              <w:jc w:val="center"/>
              <w:rPr>
                <w:rFonts w:ascii="Arial" w:eastAsia="Arial" w:hAnsi="Arial" w:cs="Arial"/>
                <w:color w:val="002060"/>
                <w:sz w:val="20"/>
                <w:szCs w:val="20"/>
              </w:rPr>
            </w:pPr>
            <w:r>
              <w:rPr>
                <w:rFonts w:ascii="Arial" w:eastAsia="Arial" w:hAnsi="Arial" w:cs="Arial"/>
                <w:color w:val="002060"/>
                <w:sz w:val="20"/>
                <w:szCs w:val="20"/>
              </w:rPr>
              <w:t>si</w:t>
            </w:r>
          </w:p>
        </w:tc>
      </w:tr>
      <w:tr w:rsidR="00B50826" w14:paraId="5DF4D69C" w14:textId="77777777">
        <w:tc>
          <w:tcPr>
            <w:tcW w:w="0" w:type="auto"/>
            <w:tcBorders>
              <w:bottom w:val="single" w:sz="4" w:space="0" w:color="000000"/>
            </w:tcBorders>
            <w:shd w:val="clear" w:color="auto" w:fill="auto"/>
          </w:tcPr>
          <w:p w14:paraId="003C8390"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6.3</w:t>
            </w:r>
            <w:r>
              <w:rPr>
                <w:rFonts w:ascii="Arial" w:eastAsia="Arial" w:hAnsi="Arial" w:cs="Arial"/>
                <w:color w:val="002060"/>
                <w:sz w:val="18"/>
                <w:szCs w:val="18"/>
              </w:rPr>
              <w:tab/>
              <w:t>Afectaría la propuesta potencialmente los derechos humanos, tierras, recursos naturales, territorios y medios de vida tradicionales de los pueblos indígenas (con independencia de que los pueblos indígenas poseen los títulos legales de dichas áreas, si la propuesta se encuentra dentro o fuera de las tierras y territorios habitados por el pueblos afectados, o si los pueblos indígenas se reconocen como indígenas por el país en cuestión)?</w:t>
            </w:r>
          </w:p>
          <w:p w14:paraId="2C8FEE0A" w14:textId="77777777" w:rsidR="00B50826" w:rsidRDefault="00006AE2">
            <w:pPr>
              <w:tabs>
                <w:tab w:val="left" w:pos="585"/>
              </w:tabs>
              <w:spacing w:before="60" w:after="60"/>
              <w:ind w:left="567" w:firstLine="40"/>
              <w:rPr>
                <w:rFonts w:ascii="Arial" w:eastAsia="Arial" w:hAnsi="Arial" w:cs="Arial"/>
                <w:i/>
                <w:color w:val="002060"/>
                <w:sz w:val="18"/>
                <w:szCs w:val="18"/>
              </w:rPr>
            </w:pPr>
            <w:r>
              <w:rPr>
                <w:rFonts w:ascii="Arial" w:eastAsia="Arial" w:hAnsi="Arial" w:cs="Arial"/>
                <w:i/>
                <w:color w:val="002060"/>
                <w:sz w:val="18"/>
                <w:szCs w:val="18"/>
              </w:rPr>
              <w:t>Si la respuesta a la pregunta de cribado 6.3 es “sí” los impactos potenciales de riesgo se consideran potencialmente graves y/o crítica y la propuesta se clasifican ya sea como moderado o alto riesgo.</w:t>
            </w:r>
          </w:p>
        </w:tc>
        <w:tc>
          <w:tcPr>
            <w:tcW w:w="0" w:type="auto"/>
            <w:tcBorders>
              <w:bottom w:val="single" w:sz="4" w:space="0" w:color="000000"/>
            </w:tcBorders>
            <w:shd w:val="clear" w:color="auto" w:fill="auto"/>
          </w:tcPr>
          <w:p w14:paraId="28ABB2BD"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03FA7479" w14:textId="77777777">
        <w:tc>
          <w:tcPr>
            <w:tcW w:w="0" w:type="auto"/>
            <w:tcBorders>
              <w:bottom w:val="single" w:sz="4" w:space="0" w:color="000000"/>
            </w:tcBorders>
            <w:shd w:val="clear" w:color="auto" w:fill="auto"/>
          </w:tcPr>
          <w:p w14:paraId="14DA0DFB"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lastRenderedPageBreak/>
              <w:t>6.4</w:t>
            </w:r>
            <w:r>
              <w:rPr>
                <w:rFonts w:ascii="Arial" w:eastAsia="Arial" w:hAnsi="Arial" w:cs="Arial"/>
                <w:color w:val="002060"/>
                <w:sz w:val="18"/>
                <w:szCs w:val="18"/>
              </w:rPr>
              <w:tab/>
              <w:t>¿Ha habido una ausencia de consultas culturalmente apropiadas llevadas a cabo con el objetivo de lograr el CLPI en cuestiones que pueden afectar a los derechos e intereses, tierras, recursos, territorios y medios de vida tradicionales de los pueblos indígenas de que se trate?</w:t>
            </w:r>
          </w:p>
        </w:tc>
        <w:tc>
          <w:tcPr>
            <w:tcW w:w="0" w:type="auto"/>
            <w:tcBorders>
              <w:bottom w:val="single" w:sz="4" w:space="0" w:color="000000"/>
            </w:tcBorders>
            <w:shd w:val="clear" w:color="auto" w:fill="auto"/>
          </w:tcPr>
          <w:p w14:paraId="0C57162D"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CD2AF4A" w14:textId="77777777">
        <w:tc>
          <w:tcPr>
            <w:tcW w:w="0" w:type="auto"/>
            <w:tcBorders>
              <w:bottom w:val="single" w:sz="4" w:space="0" w:color="000000"/>
            </w:tcBorders>
            <w:shd w:val="clear" w:color="auto" w:fill="auto"/>
          </w:tcPr>
          <w:p w14:paraId="3A52FB4F"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6.5</w:t>
            </w:r>
            <w:r>
              <w:rPr>
                <w:rFonts w:ascii="Arial" w:eastAsia="Arial" w:hAnsi="Arial" w:cs="Arial"/>
                <w:color w:val="002060"/>
                <w:sz w:val="18"/>
                <w:szCs w:val="18"/>
              </w:rPr>
              <w:tab/>
              <w:t>¿La propuesta prevé la utilización y/o el desarrollo comercial de los recursos naturales en las tierras y territorios reclamados por los pueblos indígenas?</w:t>
            </w:r>
          </w:p>
        </w:tc>
        <w:tc>
          <w:tcPr>
            <w:tcW w:w="0" w:type="auto"/>
            <w:tcBorders>
              <w:bottom w:val="single" w:sz="4" w:space="0" w:color="000000"/>
            </w:tcBorders>
            <w:shd w:val="clear" w:color="auto" w:fill="auto"/>
          </w:tcPr>
          <w:p w14:paraId="1C7FC5C4"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5CBCD4D" w14:textId="77777777">
        <w:tc>
          <w:tcPr>
            <w:tcW w:w="0" w:type="auto"/>
            <w:tcBorders>
              <w:bottom w:val="single" w:sz="4" w:space="0" w:color="000000"/>
            </w:tcBorders>
            <w:shd w:val="clear" w:color="auto" w:fill="auto"/>
          </w:tcPr>
          <w:p w14:paraId="699BA7D6"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6.6</w:t>
            </w:r>
            <w:r>
              <w:rPr>
                <w:rFonts w:ascii="Arial" w:eastAsia="Arial" w:hAnsi="Arial" w:cs="Arial"/>
                <w:color w:val="002060"/>
                <w:sz w:val="18"/>
                <w:szCs w:val="18"/>
              </w:rPr>
              <w:tab/>
              <w:t>¿Hay alguna posibilidad en el desalojo forzoso o la totalidad o desplazamiento físico o económico parcial de los pueblos indígenas, incluyendo el acceso a través de las restricciones a las tierras, territorios y recursos?</w:t>
            </w:r>
          </w:p>
        </w:tc>
        <w:tc>
          <w:tcPr>
            <w:tcW w:w="0" w:type="auto"/>
            <w:tcBorders>
              <w:bottom w:val="single" w:sz="4" w:space="0" w:color="000000"/>
            </w:tcBorders>
            <w:shd w:val="clear" w:color="auto" w:fill="auto"/>
          </w:tcPr>
          <w:p w14:paraId="1382A39F"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EF9938D" w14:textId="77777777">
        <w:tc>
          <w:tcPr>
            <w:tcW w:w="0" w:type="auto"/>
            <w:tcBorders>
              <w:bottom w:val="single" w:sz="4" w:space="0" w:color="000000"/>
            </w:tcBorders>
            <w:shd w:val="clear" w:color="auto" w:fill="auto"/>
          </w:tcPr>
          <w:p w14:paraId="468FC1D6"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6.7</w:t>
            </w:r>
            <w:r>
              <w:rPr>
                <w:rFonts w:ascii="Arial" w:eastAsia="Arial" w:hAnsi="Arial" w:cs="Arial"/>
                <w:color w:val="002060"/>
                <w:sz w:val="18"/>
                <w:szCs w:val="18"/>
              </w:rPr>
              <w:tab/>
              <w:t>Afectaría la propuesta negativamente a las prioridades de desarrollo de los pueblos indígenas como se define por ellos?</w:t>
            </w:r>
          </w:p>
        </w:tc>
        <w:tc>
          <w:tcPr>
            <w:tcW w:w="0" w:type="auto"/>
            <w:tcBorders>
              <w:bottom w:val="single" w:sz="4" w:space="0" w:color="000000"/>
            </w:tcBorders>
            <w:shd w:val="clear" w:color="auto" w:fill="auto"/>
          </w:tcPr>
          <w:p w14:paraId="140C17CB"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C460B3F" w14:textId="77777777">
        <w:tc>
          <w:tcPr>
            <w:tcW w:w="0" w:type="auto"/>
            <w:tcBorders>
              <w:bottom w:val="single" w:sz="4" w:space="0" w:color="000000"/>
            </w:tcBorders>
            <w:shd w:val="clear" w:color="auto" w:fill="auto"/>
          </w:tcPr>
          <w:p w14:paraId="379E42AB"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6.8</w:t>
            </w:r>
            <w:r>
              <w:rPr>
                <w:rFonts w:ascii="Arial" w:eastAsia="Arial" w:hAnsi="Arial" w:cs="Arial"/>
                <w:color w:val="002060"/>
                <w:sz w:val="18"/>
                <w:szCs w:val="18"/>
              </w:rPr>
              <w:tab/>
              <w:t>Afectaría la propuesta negativamente a la supervivencia física y cultural de los pueblos indígenas?</w:t>
            </w:r>
          </w:p>
        </w:tc>
        <w:tc>
          <w:tcPr>
            <w:tcW w:w="0" w:type="auto"/>
            <w:tcBorders>
              <w:bottom w:val="single" w:sz="4" w:space="0" w:color="000000"/>
            </w:tcBorders>
            <w:shd w:val="clear" w:color="auto" w:fill="auto"/>
          </w:tcPr>
          <w:p w14:paraId="4D7067AC"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283DBE3" w14:textId="77777777">
        <w:tc>
          <w:tcPr>
            <w:tcW w:w="0" w:type="auto"/>
            <w:tcBorders>
              <w:bottom w:val="single" w:sz="4" w:space="0" w:color="000000"/>
            </w:tcBorders>
            <w:shd w:val="clear" w:color="auto" w:fill="auto"/>
          </w:tcPr>
          <w:p w14:paraId="562A60F4"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6.9</w:t>
            </w:r>
            <w:r>
              <w:rPr>
                <w:rFonts w:ascii="Arial" w:eastAsia="Arial" w:hAnsi="Arial" w:cs="Arial"/>
                <w:color w:val="002060"/>
                <w:sz w:val="18"/>
                <w:szCs w:val="18"/>
              </w:rPr>
              <w:tab/>
              <w:t>Afectaría la propuesta potencialmente al patrimonio cultural de los pueblos indígenas, en particular mediante la comercialización o el uso de sus conocimientos y prácticas tradicionales?</w:t>
            </w:r>
          </w:p>
        </w:tc>
        <w:tc>
          <w:tcPr>
            <w:tcW w:w="0" w:type="auto"/>
            <w:tcBorders>
              <w:bottom w:val="single" w:sz="4" w:space="0" w:color="000000"/>
            </w:tcBorders>
            <w:shd w:val="clear" w:color="auto" w:fill="auto"/>
          </w:tcPr>
          <w:p w14:paraId="32D64E3A"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3988AAB7" w14:textId="77777777">
        <w:trPr>
          <w:trHeight w:val="602"/>
        </w:trPr>
        <w:tc>
          <w:tcPr>
            <w:tcW w:w="0" w:type="auto"/>
            <w:tcBorders>
              <w:bottom w:val="single" w:sz="4" w:space="0" w:color="000000"/>
            </w:tcBorders>
            <w:shd w:val="clear" w:color="auto" w:fill="D9E2F3"/>
            <w:vAlign w:val="center"/>
          </w:tcPr>
          <w:p w14:paraId="779784FA" w14:textId="77777777" w:rsidR="00B50826" w:rsidRDefault="00006AE2">
            <w:pPr>
              <w:tabs>
                <w:tab w:val="left" w:pos="570"/>
              </w:tabs>
              <w:spacing w:before="120"/>
              <w:rPr>
                <w:rFonts w:ascii="Arial" w:eastAsia="Arial" w:hAnsi="Arial" w:cs="Arial"/>
                <w:b/>
                <w:color w:val="002060"/>
                <w:sz w:val="20"/>
                <w:szCs w:val="20"/>
              </w:rPr>
            </w:pPr>
            <w:r>
              <w:rPr>
                <w:rFonts w:ascii="Arial" w:eastAsia="Arial" w:hAnsi="Arial" w:cs="Arial"/>
                <w:b/>
                <w:color w:val="002060"/>
                <w:sz w:val="20"/>
                <w:szCs w:val="20"/>
              </w:rPr>
              <w:t>Estándar 7: Prevención de la contaminación y la eficiencia de los recursos.</w:t>
            </w:r>
          </w:p>
        </w:tc>
        <w:tc>
          <w:tcPr>
            <w:tcW w:w="0" w:type="auto"/>
            <w:tcBorders>
              <w:bottom w:val="single" w:sz="4" w:space="0" w:color="000000"/>
            </w:tcBorders>
            <w:shd w:val="clear" w:color="auto" w:fill="D9E2F3"/>
            <w:vAlign w:val="center"/>
          </w:tcPr>
          <w:p w14:paraId="0AD57225" w14:textId="77777777" w:rsidR="00B50826" w:rsidRDefault="00B50826">
            <w:pPr>
              <w:rPr>
                <w:rFonts w:ascii="Arial" w:eastAsia="Arial" w:hAnsi="Arial" w:cs="Arial"/>
                <w:b/>
                <w:i/>
                <w:color w:val="002060"/>
                <w:sz w:val="20"/>
                <w:szCs w:val="20"/>
              </w:rPr>
            </w:pPr>
          </w:p>
        </w:tc>
      </w:tr>
      <w:tr w:rsidR="00B50826" w14:paraId="46A8A50E" w14:textId="77777777">
        <w:tc>
          <w:tcPr>
            <w:tcW w:w="0" w:type="auto"/>
            <w:shd w:val="clear" w:color="auto" w:fill="auto"/>
          </w:tcPr>
          <w:p w14:paraId="4B0A0DF0"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7.1</w:t>
            </w:r>
            <w:r>
              <w:rPr>
                <w:rFonts w:ascii="Arial" w:eastAsia="Arial" w:hAnsi="Arial" w:cs="Arial"/>
                <w:color w:val="002060"/>
                <w:sz w:val="18"/>
                <w:szCs w:val="18"/>
              </w:rPr>
              <w:tab/>
              <w:t xml:space="preserve">Existe en la propuesta la posibilidad de resultar en la liberación de contaminantes para el medio ambiente debido a circunstancias rutinarias o no rutinarias con el potencial negativo con consecuencias locales, regional y/o </w:t>
            </w:r>
            <w:hyperlink w:anchor="bookmark=id.z337ya">
              <w:r>
                <w:rPr>
                  <w:rFonts w:ascii="Arial" w:eastAsia="Arial" w:hAnsi="Arial" w:cs="Arial"/>
                  <w:color w:val="002060"/>
                  <w:sz w:val="18"/>
                  <w:szCs w:val="18"/>
                </w:rPr>
                <w:t>impactos transfronterizos</w:t>
              </w:r>
            </w:hyperlink>
            <w:r>
              <w:rPr>
                <w:rFonts w:ascii="Arial" w:eastAsia="Arial" w:hAnsi="Arial" w:cs="Arial"/>
                <w:color w:val="002060"/>
                <w:sz w:val="18"/>
                <w:szCs w:val="18"/>
              </w:rPr>
              <w:t xml:space="preserve">? </w:t>
            </w:r>
          </w:p>
        </w:tc>
        <w:tc>
          <w:tcPr>
            <w:tcW w:w="0" w:type="auto"/>
            <w:shd w:val="clear" w:color="auto" w:fill="auto"/>
          </w:tcPr>
          <w:p w14:paraId="5BC599C3"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63737AE6" w14:textId="77777777">
        <w:tc>
          <w:tcPr>
            <w:tcW w:w="0" w:type="auto"/>
            <w:tcBorders>
              <w:bottom w:val="single" w:sz="4" w:space="0" w:color="000000"/>
            </w:tcBorders>
            <w:shd w:val="clear" w:color="auto" w:fill="auto"/>
          </w:tcPr>
          <w:p w14:paraId="4ED0F469"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7.2</w:t>
            </w:r>
            <w:r>
              <w:rPr>
                <w:rFonts w:ascii="Arial" w:eastAsia="Arial" w:hAnsi="Arial" w:cs="Arial"/>
                <w:color w:val="002060"/>
                <w:sz w:val="18"/>
                <w:szCs w:val="18"/>
              </w:rPr>
              <w:tab/>
              <w:t>Existe en la propuesta la posibilidad de generar como resultado de residuos (tanto peligrosos y no peligrosos)?</w:t>
            </w:r>
          </w:p>
        </w:tc>
        <w:tc>
          <w:tcPr>
            <w:tcW w:w="0" w:type="auto"/>
            <w:tcBorders>
              <w:bottom w:val="single" w:sz="4" w:space="0" w:color="000000"/>
            </w:tcBorders>
            <w:shd w:val="clear" w:color="auto" w:fill="auto"/>
          </w:tcPr>
          <w:p w14:paraId="413D3051"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235FFC5F" w14:textId="77777777">
        <w:trPr>
          <w:trHeight w:val="402"/>
        </w:trPr>
        <w:tc>
          <w:tcPr>
            <w:tcW w:w="0" w:type="auto"/>
            <w:tcBorders>
              <w:bottom w:val="single" w:sz="4" w:space="0" w:color="000000"/>
            </w:tcBorders>
            <w:shd w:val="clear" w:color="auto" w:fill="auto"/>
          </w:tcPr>
          <w:p w14:paraId="603EC3D6" w14:textId="77777777" w:rsidR="00B50826" w:rsidRDefault="00006AE2">
            <w:pPr>
              <w:tabs>
                <w:tab w:val="left" w:pos="585"/>
              </w:tabs>
              <w:spacing w:before="60" w:after="60"/>
              <w:ind w:left="567" w:hanging="567"/>
              <w:rPr>
                <w:rFonts w:ascii="Arial" w:eastAsia="Arial" w:hAnsi="Arial" w:cs="Arial"/>
                <w:color w:val="002060"/>
                <w:sz w:val="18"/>
                <w:szCs w:val="18"/>
              </w:rPr>
            </w:pPr>
            <w:r>
              <w:rPr>
                <w:rFonts w:ascii="Arial" w:eastAsia="Arial" w:hAnsi="Arial" w:cs="Arial"/>
                <w:color w:val="002060"/>
                <w:sz w:val="18"/>
                <w:szCs w:val="18"/>
              </w:rPr>
              <w:t>7.3</w:t>
            </w:r>
            <w:r>
              <w:rPr>
                <w:rFonts w:ascii="Arial" w:eastAsia="Arial" w:hAnsi="Arial" w:cs="Arial"/>
                <w:color w:val="002060"/>
                <w:sz w:val="18"/>
                <w:szCs w:val="18"/>
              </w:rPr>
              <w:tab/>
              <w:t>La implementación de la propuesta implica la fabricación, el comercio, la liberación y/o el uso de productos químicos y/o materiales peligrosos? ¿La propuesta propone el uso de productos químicos o materiales sujetos a prohibiciones internacionales o eliminaciones?</w:t>
            </w:r>
          </w:p>
          <w:p w14:paraId="62EBD35D" w14:textId="77777777" w:rsidR="00B50826" w:rsidRDefault="00006AE2">
            <w:pPr>
              <w:tabs>
                <w:tab w:val="left" w:pos="630"/>
              </w:tabs>
              <w:spacing w:before="60" w:after="60"/>
              <w:ind w:left="630"/>
              <w:rPr>
                <w:rFonts w:ascii="Arial" w:eastAsia="Arial" w:hAnsi="Arial" w:cs="Arial"/>
                <w:color w:val="002060"/>
                <w:sz w:val="18"/>
                <w:szCs w:val="18"/>
              </w:rPr>
            </w:pPr>
            <w:r>
              <w:rPr>
                <w:rFonts w:ascii="Arial" w:eastAsia="Arial" w:hAnsi="Arial" w:cs="Arial"/>
                <w:i/>
                <w:color w:val="002060"/>
                <w:sz w:val="18"/>
                <w:szCs w:val="18"/>
              </w:rPr>
              <w:t>Por ejemplo, el DDT, PCB y otros productos químicos incluidos en los convenios internacionales como el Convenio de Estocolmo sobre contaminantes orgánicos persistentes o el Protocolo de Montreal</w:t>
            </w:r>
            <w:r>
              <w:rPr>
                <w:rFonts w:ascii="Arial" w:eastAsia="Arial" w:hAnsi="Arial" w:cs="Arial"/>
                <w:color w:val="002060"/>
                <w:sz w:val="18"/>
                <w:szCs w:val="18"/>
              </w:rPr>
              <w:t xml:space="preserve"> </w:t>
            </w:r>
          </w:p>
        </w:tc>
        <w:tc>
          <w:tcPr>
            <w:tcW w:w="0" w:type="auto"/>
            <w:tcBorders>
              <w:bottom w:val="single" w:sz="4" w:space="0" w:color="000000"/>
            </w:tcBorders>
            <w:shd w:val="clear" w:color="auto" w:fill="auto"/>
          </w:tcPr>
          <w:p w14:paraId="0C1882D6" w14:textId="77777777" w:rsidR="00B50826" w:rsidRDefault="00006AE2">
            <w:pPr>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04450FFE" w14:textId="77777777">
        <w:tc>
          <w:tcPr>
            <w:tcW w:w="0" w:type="auto"/>
            <w:tcBorders>
              <w:bottom w:val="single" w:sz="4" w:space="0" w:color="000000"/>
            </w:tcBorders>
            <w:shd w:val="clear" w:color="auto" w:fill="auto"/>
          </w:tcPr>
          <w:p w14:paraId="34619DEE"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 xml:space="preserve">7.4 </w:t>
            </w:r>
            <w:r>
              <w:rPr>
                <w:rFonts w:ascii="Arial" w:eastAsia="Arial" w:hAnsi="Arial" w:cs="Arial"/>
                <w:color w:val="002060"/>
                <w:sz w:val="18"/>
                <w:szCs w:val="18"/>
              </w:rPr>
              <w:tab/>
              <w:t>La implementación de la propuesta implica la aplicación de pesticidas que pueden tener un efecto negativo sobre el medio ambiente o la salud humana?</w:t>
            </w:r>
          </w:p>
        </w:tc>
        <w:tc>
          <w:tcPr>
            <w:tcW w:w="0" w:type="auto"/>
            <w:tcBorders>
              <w:bottom w:val="single" w:sz="4" w:space="0" w:color="000000"/>
            </w:tcBorders>
            <w:shd w:val="clear" w:color="auto" w:fill="auto"/>
          </w:tcPr>
          <w:p w14:paraId="1FF49000"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r w:rsidR="00B50826" w14:paraId="1293EED9" w14:textId="77777777">
        <w:tc>
          <w:tcPr>
            <w:tcW w:w="0" w:type="auto"/>
            <w:tcBorders>
              <w:bottom w:val="single" w:sz="4" w:space="0" w:color="000000"/>
            </w:tcBorders>
            <w:shd w:val="clear" w:color="auto" w:fill="auto"/>
          </w:tcPr>
          <w:p w14:paraId="68833B65" w14:textId="77777777" w:rsidR="00B50826" w:rsidRDefault="00006AE2">
            <w:pPr>
              <w:tabs>
                <w:tab w:val="left" w:pos="585"/>
              </w:tabs>
              <w:spacing w:before="60" w:after="60"/>
              <w:ind w:left="567" w:hanging="567"/>
              <w:jc w:val="both"/>
              <w:rPr>
                <w:rFonts w:ascii="Arial" w:eastAsia="Arial" w:hAnsi="Arial" w:cs="Arial"/>
                <w:color w:val="002060"/>
                <w:sz w:val="18"/>
                <w:szCs w:val="18"/>
              </w:rPr>
            </w:pPr>
            <w:r>
              <w:rPr>
                <w:rFonts w:ascii="Arial" w:eastAsia="Arial" w:hAnsi="Arial" w:cs="Arial"/>
                <w:color w:val="002060"/>
                <w:sz w:val="18"/>
                <w:szCs w:val="18"/>
              </w:rPr>
              <w:t>7.5</w:t>
            </w:r>
            <w:r>
              <w:rPr>
                <w:rFonts w:ascii="Arial" w:eastAsia="Arial" w:hAnsi="Arial" w:cs="Arial"/>
                <w:color w:val="002060"/>
                <w:sz w:val="18"/>
                <w:szCs w:val="18"/>
              </w:rPr>
              <w:tab/>
              <w:t>¿La propuesta incluye actividades que requieren un importante consumo de materias primas, energía y / o agua?</w:t>
            </w:r>
          </w:p>
        </w:tc>
        <w:tc>
          <w:tcPr>
            <w:tcW w:w="0" w:type="auto"/>
            <w:tcBorders>
              <w:bottom w:val="single" w:sz="4" w:space="0" w:color="000000"/>
            </w:tcBorders>
            <w:shd w:val="clear" w:color="auto" w:fill="auto"/>
          </w:tcPr>
          <w:p w14:paraId="0D8A6D68" w14:textId="77777777" w:rsidR="00B50826" w:rsidRDefault="00006AE2">
            <w:pPr>
              <w:tabs>
                <w:tab w:val="left" w:pos="585"/>
              </w:tabs>
              <w:spacing w:before="60" w:after="60"/>
              <w:ind w:left="567" w:hanging="567"/>
              <w:jc w:val="center"/>
              <w:rPr>
                <w:rFonts w:ascii="Arial" w:eastAsia="Arial" w:hAnsi="Arial" w:cs="Arial"/>
                <w:color w:val="002060"/>
                <w:sz w:val="20"/>
                <w:szCs w:val="20"/>
              </w:rPr>
            </w:pPr>
            <w:r>
              <w:rPr>
                <w:rFonts w:ascii="Arial" w:eastAsia="Arial" w:hAnsi="Arial" w:cs="Arial"/>
                <w:color w:val="002060"/>
                <w:sz w:val="20"/>
                <w:szCs w:val="20"/>
              </w:rPr>
              <w:t>No</w:t>
            </w:r>
          </w:p>
        </w:tc>
      </w:tr>
    </w:tbl>
    <w:p w14:paraId="503EB9EC" w14:textId="77777777" w:rsidR="00B50826" w:rsidRDefault="00B50826">
      <w:pPr>
        <w:pStyle w:val="Ttulo1"/>
        <w:rPr>
          <w:rFonts w:ascii="Arial" w:eastAsia="Arial" w:hAnsi="Arial" w:cs="Arial"/>
          <w:color w:val="002060"/>
          <w:sz w:val="20"/>
          <w:szCs w:val="20"/>
        </w:rPr>
      </w:pPr>
    </w:p>
    <w:p w14:paraId="116F6A54" w14:textId="77777777" w:rsidR="00B50826" w:rsidRDefault="00006AE2">
      <w:pPr>
        <w:spacing w:after="160" w:line="259" w:lineRule="auto"/>
        <w:ind w:left="-567"/>
        <w:jc w:val="both"/>
        <w:rPr>
          <w:rFonts w:ascii="Arial" w:eastAsia="Arial" w:hAnsi="Arial" w:cs="Arial"/>
          <w:b/>
          <w:color w:val="002060"/>
          <w:sz w:val="20"/>
          <w:szCs w:val="20"/>
        </w:rPr>
      </w:pPr>
      <w:r>
        <w:rPr>
          <w:rFonts w:ascii="Arial" w:eastAsia="Arial" w:hAnsi="Arial" w:cs="Arial"/>
          <w:b/>
          <w:color w:val="002060"/>
          <w:sz w:val="20"/>
          <w:szCs w:val="20"/>
        </w:rPr>
        <w:t>Supuestos</w:t>
      </w:r>
    </w:p>
    <w:p w14:paraId="7A4ED8F3"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Condiciones pacíficas en la zona de intervención.</w:t>
      </w:r>
    </w:p>
    <w:p w14:paraId="3DE5EA93"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Indicadores macroeconómicos estables.</w:t>
      </w:r>
    </w:p>
    <w:p w14:paraId="3864CC77"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Se mantiene la demanda de productos orgánicos.</w:t>
      </w:r>
    </w:p>
    <w:p w14:paraId="0E04BA84"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Se mantiene o incrementa la demanda (interna y externa) de productos producidos en la región.</w:t>
      </w:r>
    </w:p>
    <w:p w14:paraId="6673FFCA"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Se mantiene o incrementan los precios de los productos producidos en la región.</w:t>
      </w:r>
    </w:p>
    <w:p w14:paraId="0B28DE2C"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Ausencia de nuevas enfermedades para los cultivos y/o ganadería.</w:t>
      </w:r>
    </w:p>
    <w:p w14:paraId="39E00624"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Condiciones climáticas favorables al desarrollo de los cultivos, ganadería, acuicultura y forestal.</w:t>
      </w:r>
    </w:p>
    <w:p w14:paraId="625869D8"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Buena calidad del agua para el desarrollo acuícola, libre de sustancias tóxicas.</w:t>
      </w:r>
    </w:p>
    <w:p w14:paraId="74E16A58"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Se mantiene el interés de la cooperación externa en la conservación de los recursos naturales y la biodiversidad en la región, para lo cual cofinancia proyectos con este fin.</w:t>
      </w:r>
    </w:p>
    <w:p w14:paraId="06B99ADF"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Gestión y ejecución de proyectos de manera transparente, sin corrupción.</w:t>
      </w:r>
    </w:p>
    <w:p w14:paraId="19771BE1"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Los productores acceden a servicios financieros adecuados con salvaguardas ambientales.</w:t>
      </w:r>
    </w:p>
    <w:p w14:paraId="0975496E"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Buenas predisposición y equipamiento para que la policía y fiscalía ambiental, para que realicen las inspecciones correspondientes, a fin de hacer cumplir la ley, para evitar la deforestación.</w:t>
      </w:r>
    </w:p>
    <w:p w14:paraId="738EA765" w14:textId="77777777" w:rsidR="00B50826" w:rsidRDefault="00006AE2">
      <w:pPr>
        <w:numPr>
          <w:ilvl w:val="0"/>
          <w:numId w:val="8"/>
        </w:numPr>
        <w:pBdr>
          <w:top w:val="nil"/>
          <w:left w:val="nil"/>
          <w:bottom w:val="nil"/>
          <w:right w:val="nil"/>
          <w:between w:val="nil"/>
        </w:pBdr>
        <w:spacing w:line="259" w:lineRule="auto"/>
        <w:ind w:left="-284" w:hanging="283"/>
        <w:jc w:val="both"/>
        <w:rPr>
          <w:rFonts w:ascii="Arial" w:eastAsia="Arial" w:hAnsi="Arial" w:cs="Arial"/>
          <w:color w:val="002060"/>
          <w:sz w:val="20"/>
          <w:szCs w:val="20"/>
        </w:rPr>
      </w:pPr>
      <w:r>
        <w:rPr>
          <w:rFonts w:ascii="Arial" w:eastAsia="Arial" w:hAnsi="Arial" w:cs="Arial"/>
          <w:color w:val="002060"/>
          <w:sz w:val="20"/>
          <w:szCs w:val="20"/>
        </w:rPr>
        <w:t xml:space="preserve">Se mantiene el interés político nacional y regional </w:t>
      </w:r>
      <w:r w:rsidR="00BA759C">
        <w:rPr>
          <w:rFonts w:ascii="Arial" w:eastAsia="Arial" w:hAnsi="Arial" w:cs="Arial"/>
          <w:color w:val="002060"/>
          <w:sz w:val="20"/>
          <w:szCs w:val="20"/>
        </w:rPr>
        <w:t xml:space="preserve">en gestionar </w:t>
      </w:r>
      <w:r>
        <w:rPr>
          <w:rFonts w:ascii="Arial" w:eastAsia="Arial" w:hAnsi="Arial" w:cs="Arial"/>
          <w:color w:val="002060"/>
          <w:sz w:val="20"/>
          <w:szCs w:val="20"/>
        </w:rPr>
        <w:t>los “Bosques de Producción Permanente” – BPP.</w:t>
      </w:r>
    </w:p>
    <w:p w14:paraId="42B8D4DD" w14:textId="77777777" w:rsidR="00B50826" w:rsidRDefault="00006AE2" w:rsidP="00D029B1">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lastRenderedPageBreak/>
        <w:t>Difusión y comunicaciones.</w:t>
      </w:r>
    </w:p>
    <w:p w14:paraId="47CAEFD6" w14:textId="77777777" w:rsidR="00B50826" w:rsidRDefault="00B50826">
      <w:pPr>
        <w:pBdr>
          <w:top w:val="nil"/>
          <w:left w:val="nil"/>
          <w:bottom w:val="nil"/>
          <w:right w:val="nil"/>
          <w:between w:val="nil"/>
        </w:pBdr>
        <w:ind w:left="993" w:hanging="720"/>
        <w:rPr>
          <w:rFonts w:ascii="Arial" w:eastAsia="Arial" w:hAnsi="Arial" w:cs="Arial"/>
          <w:b/>
          <w:color w:val="002060"/>
        </w:rPr>
      </w:pPr>
    </w:p>
    <w:p w14:paraId="4F5FBE81" w14:textId="77777777" w:rsidR="00B50826" w:rsidRDefault="00006AE2">
      <w:pPr>
        <w:pBdr>
          <w:top w:val="nil"/>
          <w:left w:val="nil"/>
          <w:bottom w:val="nil"/>
          <w:right w:val="nil"/>
          <w:between w:val="nil"/>
        </w:pBdr>
        <w:jc w:val="both"/>
        <w:rPr>
          <w:rFonts w:ascii="Arial" w:eastAsia="Arial" w:hAnsi="Arial" w:cs="Arial"/>
          <w:color w:val="002060"/>
          <w:sz w:val="20"/>
          <w:szCs w:val="20"/>
        </w:rPr>
      </w:pPr>
      <w:r>
        <w:rPr>
          <w:rFonts w:ascii="Arial" w:eastAsia="Arial" w:hAnsi="Arial" w:cs="Arial"/>
          <w:color w:val="002060"/>
          <w:sz w:val="20"/>
          <w:szCs w:val="20"/>
        </w:rPr>
        <w:t>Esta Estrategia, construida bajo el liderazgo y conducción del Gobierno Regional, estará aprobada por el Consejo Regional, mediante Ordenanza Regional y será de carácter normativo que deberá ser difundida en la página web del GOREHCO, de manera paralela se imprimirá para su distribución formal a todos los Gobiernos Locales, así como las direcciones regionales, organizaciones civiles, instituciones de cooperación externa, organizaciones de productores, entre otras.</w:t>
      </w:r>
    </w:p>
    <w:p w14:paraId="271C4BEF" w14:textId="77777777" w:rsidR="00B50826" w:rsidRDefault="00B50826">
      <w:pPr>
        <w:pBdr>
          <w:top w:val="nil"/>
          <w:left w:val="nil"/>
          <w:bottom w:val="nil"/>
          <w:right w:val="nil"/>
          <w:between w:val="nil"/>
        </w:pBdr>
        <w:ind w:hanging="720"/>
        <w:jc w:val="both"/>
        <w:rPr>
          <w:rFonts w:ascii="Arial" w:eastAsia="Arial" w:hAnsi="Arial" w:cs="Arial"/>
          <w:color w:val="002060"/>
          <w:sz w:val="20"/>
          <w:szCs w:val="20"/>
        </w:rPr>
      </w:pPr>
    </w:p>
    <w:p w14:paraId="0399C6FA" w14:textId="77777777" w:rsidR="00B50826" w:rsidRDefault="00006AE2">
      <w:pPr>
        <w:jc w:val="both"/>
        <w:rPr>
          <w:rFonts w:ascii="Arial" w:eastAsia="Arial" w:hAnsi="Arial" w:cs="Arial"/>
          <w:b/>
          <w:color w:val="002060"/>
          <w:sz w:val="20"/>
          <w:szCs w:val="20"/>
        </w:rPr>
      </w:pPr>
      <w:r>
        <w:rPr>
          <w:rFonts w:ascii="Arial" w:eastAsia="Arial" w:hAnsi="Arial" w:cs="Arial"/>
          <w:color w:val="002060"/>
          <w:sz w:val="20"/>
          <w:szCs w:val="20"/>
        </w:rPr>
        <w:t>Para su ejecución se realizarán reuniones de socialización sectoriales y a través de “Mesas temáticas” de manera sostenida, a fin de coordinar acciones contempladas en los diversos POAS, evitando así duplicidad de esfuerzos y recursos.</w:t>
      </w:r>
      <w:r>
        <w:rPr>
          <w:rFonts w:ascii="Arial" w:eastAsia="Arial" w:hAnsi="Arial" w:cs="Arial"/>
          <w:b/>
          <w:color w:val="002060"/>
          <w:sz w:val="20"/>
          <w:szCs w:val="20"/>
        </w:rPr>
        <w:t xml:space="preserve"> </w:t>
      </w:r>
    </w:p>
    <w:p w14:paraId="3D730C4F" w14:textId="77777777" w:rsidR="00B50826" w:rsidRDefault="00B50826">
      <w:pPr>
        <w:pBdr>
          <w:top w:val="nil"/>
          <w:left w:val="nil"/>
          <w:bottom w:val="nil"/>
          <w:right w:val="nil"/>
          <w:between w:val="nil"/>
        </w:pBdr>
        <w:ind w:left="1713" w:hanging="720"/>
        <w:jc w:val="both"/>
        <w:rPr>
          <w:rFonts w:ascii="Arial" w:eastAsia="Arial" w:hAnsi="Arial" w:cs="Arial"/>
          <w:b/>
          <w:color w:val="002060"/>
        </w:rPr>
      </w:pPr>
    </w:p>
    <w:p w14:paraId="01AC01FA" w14:textId="77777777" w:rsidR="00B50826" w:rsidRDefault="00B50826">
      <w:pPr>
        <w:rPr>
          <w:rFonts w:ascii="Arial" w:eastAsia="Arial" w:hAnsi="Arial" w:cs="Arial"/>
          <w:b/>
          <w:color w:val="002060"/>
        </w:rPr>
      </w:pPr>
    </w:p>
    <w:p w14:paraId="3ED48E0A" w14:textId="77777777" w:rsidR="00B50826" w:rsidRDefault="00006AE2" w:rsidP="00D029B1">
      <w:pPr>
        <w:numPr>
          <w:ilvl w:val="0"/>
          <w:numId w:val="20"/>
        </w:numPr>
        <w:pBdr>
          <w:top w:val="nil"/>
          <w:left w:val="nil"/>
          <w:bottom w:val="nil"/>
          <w:right w:val="nil"/>
          <w:between w:val="nil"/>
        </w:pBdr>
        <w:ind w:left="0" w:hanging="284"/>
        <w:rPr>
          <w:rFonts w:ascii="Arial" w:eastAsia="Arial" w:hAnsi="Arial" w:cs="Arial"/>
          <w:color w:val="002060"/>
        </w:rPr>
      </w:pPr>
      <w:r>
        <w:rPr>
          <w:rFonts w:ascii="Arial" w:eastAsia="Arial" w:hAnsi="Arial" w:cs="Arial"/>
          <w:b/>
          <w:color w:val="002060"/>
        </w:rPr>
        <w:t>Seguimiento de la estrategia regional de desarrollo rural bajo en emisiones.</w:t>
      </w:r>
    </w:p>
    <w:p w14:paraId="7B59F4A4" w14:textId="77777777" w:rsidR="00B50826" w:rsidRDefault="00B50826">
      <w:pPr>
        <w:pBdr>
          <w:top w:val="nil"/>
          <w:left w:val="nil"/>
          <w:bottom w:val="nil"/>
          <w:right w:val="nil"/>
          <w:between w:val="nil"/>
        </w:pBdr>
        <w:ind w:left="720"/>
        <w:rPr>
          <w:rFonts w:ascii="Arial" w:eastAsia="Arial" w:hAnsi="Arial" w:cs="Arial"/>
          <w:color w:val="002060"/>
          <w:sz w:val="32"/>
          <w:szCs w:val="32"/>
        </w:rPr>
      </w:pPr>
    </w:p>
    <w:p w14:paraId="450B34B5" w14:textId="77777777" w:rsidR="00B50826" w:rsidRDefault="00006AE2">
      <w:pPr>
        <w:ind w:left="12"/>
        <w:jc w:val="both"/>
        <w:rPr>
          <w:rFonts w:ascii="Arial" w:eastAsia="Arial" w:hAnsi="Arial" w:cs="Arial"/>
          <w:color w:val="002060"/>
          <w:sz w:val="20"/>
          <w:szCs w:val="20"/>
        </w:rPr>
      </w:pPr>
      <w:r>
        <w:rPr>
          <w:rFonts w:ascii="Arial" w:eastAsia="Arial" w:hAnsi="Arial" w:cs="Arial"/>
          <w:color w:val="002060"/>
          <w:sz w:val="20"/>
          <w:szCs w:val="20"/>
        </w:rPr>
        <w:t>Las Gerencias de Planificación, Presupuesto y Acondicionamiento Territorial, así como la Gerencia de Recursos Naturales y Gestión Ambiental serán las responsables de realizar el seguimiento a esta estrategia, quienes recopilarán y analizarán información sobre el avance de los indicadores en relación a sus metas, en este proceso se identifican alertas tempranas sobre el avance en el cumplimiento de los resultados esperados y, se realizarán las medidas correctivas que el caso amerite, tomando decisiones basadas en evidencias.</w:t>
      </w:r>
    </w:p>
    <w:p w14:paraId="59F1EAC7" w14:textId="77777777" w:rsidR="00B50826" w:rsidRDefault="00B50826">
      <w:pPr>
        <w:ind w:left="12"/>
        <w:jc w:val="both"/>
        <w:rPr>
          <w:rFonts w:ascii="Arial" w:eastAsia="Arial" w:hAnsi="Arial" w:cs="Arial"/>
          <w:color w:val="002060"/>
          <w:sz w:val="22"/>
          <w:szCs w:val="22"/>
        </w:rPr>
      </w:pPr>
    </w:p>
    <w:p w14:paraId="30C8CB21" w14:textId="77777777" w:rsidR="00B50826" w:rsidRDefault="00006AE2">
      <w:pPr>
        <w:ind w:left="12" w:firstLine="4"/>
        <w:jc w:val="both"/>
        <w:rPr>
          <w:rFonts w:ascii="Arial" w:eastAsia="Arial" w:hAnsi="Arial" w:cs="Arial"/>
          <w:color w:val="002060"/>
          <w:sz w:val="22"/>
          <w:szCs w:val="22"/>
        </w:rPr>
      </w:pPr>
      <w:r>
        <w:rPr>
          <w:rFonts w:ascii="Arial" w:eastAsia="Arial" w:hAnsi="Arial" w:cs="Arial"/>
          <w:b/>
          <w:color w:val="002060"/>
          <w:sz w:val="22"/>
          <w:szCs w:val="22"/>
        </w:rPr>
        <w:t>Qué se identifica</w:t>
      </w:r>
      <w:r>
        <w:rPr>
          <w:rFonts w:ascii="Arial" w:eastAsia="Arial" w:hAnsi="Arial" w:cs="Arial"/>
          <w:color w:val="002060"/>
          <w:sz w:val="22"/>
          <w:szCs w:val="22"/>
        </w:rPr>
        <w:tab/>
      </w:r>
      <w:r>
        <w:rPr>
          <w:rFonts w:ascii="Arial" w:eastAsia="Arial" w:hAnsi="Arial" w:cs="Arial"/>
          <w:color w:val="002060"/>
          <w:sz w:val="22"/>
          <w:szCs w:val="22"/>
        </w:rPr>
        <w:tab/>
      </w:r>
      <w:r>
        <w:rPr>
          <w:rFonts w:ascii="Arial" w:eastAsia="Arial" w:hAnsi="Arial" w:cs="Arial"/>
          <w:color w:val="002060"/>
          <w:sz w:val="22"/>
          <w:szCs w:val="22"/>
        </w:rPr>
        <w:tab/>
        <w:t>:</w:t>
      </w:r>
      <w:r>
        <w:rPr>
          <w:rFonts w:ascii="Arial" w:eastAsia="Arial" w:hAnsi="Arial" w:cs="Arial"/>
          <w:color w:val="002060"/>
          <w:sz w:val="22"/>
          <w:szCs w:val="22"/>
        </w:rPr>
        <w:tab/>
        <w:t xml:space="preserve">Valores obtenidos de los indicadores a   </w:t>
      </w:r>
    </w:p>
    <w:p w14:paraId="22258DFA" w14:textId="77777777" w:rsidR="00B50826" w:rsidRDefault="00006AE2">
      <w:pPr>
        <w:ind w:left="4320" w:firstLine="1"/>
        <w:jc w:val="both"/>
        <w:rPr>
          <w:rFonts w:ascii="Arial" w:eastAsia="Arial" w:hAnsi="Arial" w:cs="Arial"/>
          <w:color w:val="002060"/>
          <w:sz w:val="22"/>
          <w:szCs w:val="22"/>
        </w:rPr>
      </w:pPr>
      <w:r>
        <w:rPr>
          <w:rFonts w:ascii="Arial" w:eastAsia="Arial" w:hAnsi="Arial" w:cs="Arial"/>
          <w:color w:val="002060"/>
          <w:sz w:val="22"/>
          <w:szCs w:val="22"/>
        </w:rPr>
        <w:t>nivel de Objetivos Estratégicos y Objetivos Específicos en relación a sus metas anualizadas; se analizan los resultados reflejando alertas tempranas.</w:t>
      </w:r>
    </w:p>
    <w:p w14:paraId="15C47342" w14:textId="77777777" w:rsidR="00B50826" w:rsidRDefault="00006AE2">
      <w:pPr>
        <w:ind w:left="12"/>
        <w:jc w:val="both"/>
        <w:rPr>
          <w:rFonts w:ascii="Arial" w:eastAsia="Arial" w:hAnsi="Arial" w:cs="Arial"/>
          <w:color w:val="002060"/>
          <w:sz w:val="22"/>
          <w:szCs w:val="22"/>
        </w:rPr>
      </w:pPr>
      <w:r>
        <w:rPr>
          <w:rFonts w:ascii="Arial" w:eastAsia="Arial" w:hAnsi="Arial" w:cs="Arial"/>
          <w:b/>
          <w:color w:val="002060"/>
          <w:sz w:val="22"/>
          <w:szCs w:val="22"/>
        </w:rPr>
        <w:t>Periodo del seguimiento</w:t>
      </w:r>
      <w:r>
        <w:rPr>
          <w:rFonts w:ascii="Arial" w:eastAsia="Arial" w:hAnsi="Arial" w:cs="Arial"/>
          <w:color w:val="002060"/>
          <w:sz w:val="22"/>
          <w:szCs w:val="22"/>
        </w:rPr>
        <w:tab/>
      </w:r>
      <w:r>
        <w:rPr>
          <w:rFonts w:ascii="Arial" w:eastAsia="Arial" w:hAnsi="Arial" w:cs="Arial"/>
          <w:color w:val="002060"/>
          <w:sz w:val="22"/>
          <w:szCs w:val="22"/>
        </w:rPr>
        <w:tab/>
        <w:t>:</w:t>
      </w:r>
      <w:r>
        <w:rPr>
          <w:rFonts w:ascii="Arial" w:eastAsia="Arial" w:hAnsi="Arial" w:cs="Arial"/>
          <w:color w:val="002060"/>
          <w:sz w:val="22"/>
          <w:szCs w:val="22"/>
        </w:rPr>
        <w:tab/>
        <w:t>Cada año</w:t>
      </w:r>
    </w:p>
    <w:p w14:paraId="2C8670BC" w14:textId="77777777" w:rsidR="00B50826" w:rsidRDefault="00006AE2">
      <w:pPr>
        <w:ind w:left="12"/>
        <w:jc w:val="both"/>
        <w:rPr>
          <w:rFonts w:ascii="Arial" w:eastAsia="Arial" w:hAnsi="Arial" w:cs="Arial"/>
          <w:color w:val="002060"/>
          <w:sz w:val="22"/>
          <w:szCs w:val="22"/>
        </w:rPr>
      </w:pPr>
      <w:r>
        <w:rPr>
          <w:rFonts w:ascii="Arial" w:eastAsia="Arial" w:hAnsi="Arial" w:cs="Arial"/>
          <w:b/>
          <w:color w:val="002060"/>
          <w:sz w:val="22"/>
          <w:szCs w:val="22"/>
        </w:rPr>
        <w:t>Qué se genera</w:t>
      </w:r>
      <w:r>
        <w:rPr>
          <w:rFonts w:ascii="Arial" w:eastAsia="Arial" w:hAnsi="Arial" w:cs="Arial"/>
          <w:color w:val="002060"/>
          <w:sz w:val="22"/>
          <w:szCs w:val="22"/>
        </w:rPr>
        <w:tab/>
      </w:r>
      <w:r>
        <w:rPr>
          <w:rFonts w:ascii="Arial" w:eastAsia="Arial" w:hAnsi="Arial" w:cs="Arial"/>
          <w:color w:val="002060"/>
          <w:sz w:val="22"/>
          <w:szCs w:val="22"/>
        </w:rPr>
        <w:tab/>
      </w:r>
      <w:r>
        <w:rPr>
          <w:rFonts w:ascii="Arial" w:eastAsia="Arial" w:hAnsi="Arial" w:cs="Arial"/>
          <w:color w:val="002060"/>
          <w:sz w:val="22"/>
          <w:szCs w:val="22"/>
        </w:rPr>
        <w:tab/>
        <w:t>:</w:t>
      </w:r>
      <w:r>
        <w:rPr>
          <w:rFonts w:ascii="Arial" w:eastAsia="Arial" w:hAnsi="Arial" w:cs="Arial"/>
          <w:color w:val="002060"/>
          <w:sz w:val="22"/>
          <w:szCs w:val="22"/>
        </w:rPr>
        <w:tab/>
        <w:t>Reporte de Seguimiento Anual.</w:t>
      </w:r>
    </w:p>
    <w:p w14:paraId="3C9FBA42" w14:textId="77777777" w:rsidR="00B50826" w:rsidRDefault="00006AE2">
      <w:pPr>
        <w:ind w:left="12"/>
        <w:jc w:val="both"/>
        <w:rPr>
          <w:rFonts w:ascii="Arial" w:eastAsia="Arial" w:hAnsi="Arial" w:cs="Arial"/>
          <w:color w:val="002060"/>
          <w:sz w:val="22"/>
          <w:szCs w:val="22"/>
        </w:rPr>
      </w:pPr>
      <w:r>
        <w:rPr>
          <w:rFonts w:ascii="Arial" w:eastAsia="Arial" w:hAnsi="Arial" w:cs="Arial"/>
          <w:b/>
          <w:color w:val="002060"/>
          <w:sz w:val="22"/>
          <w:szCs w:val="22"/>
        </w:rPr>
        <w:t>Dónde se publica el reporte</w:t>
      </w:r>
      <w:r>
        <w:rPr>
          <w:rFonts w:ascii="Arial" w:eastAsia="Arial" w:hAnsi="Arial" w:cs="Arial"/>
          <w:color w:val="002060"/>
          <w:sz w:val="22"/>
          <w:szCs w:val="22"/>
        </w:rPr>
        <w:tab/>
        <w:t>:</w:t>
      </w:r>
      <w:r>
        <w:rPr>
          <w:rFonts w:ascii="Arial" w:eastAsia="Arial" w:hAnsi="Arial" w:cs="Arial"/>
          <w:color w:val="002060"/>
          <w:sz w:val="22"/>
          <w:szCs w:val="22"/>
        </w:rPr>
        <w:tab/>
        <w:t>En el Portal Web de la Institución.</w:t>
      </w:r>
    </w:p>
    <w:p w14:paraId="56B94746" w14:textId="77777777" w:rsidR="00B50826" w:rsidRDefault="00006AE2">
      <w:pPr>
        <w:ind w:left="12"/>
        <w:jc w:val="both"/>
        <w:rPr>
          <w:rFonts w:ascii="Arial" w:eastAsia="Arial" w:hAnsi="Arial" w:cs="Arial"/>
          <w:color w:val="002060"/>
          <w:sz w:val="22"/>
          <w:szCs w:val="22"/>
        </w:rPr>
      </w:pPr>
      <w:r>
        <w:rPr>
          <w:rFonts w:ascii="Arial" w:eastAsia="Arial" w:hAnsi="Arial" w:cs="Arial"/>
          <w:b/>
          <w:color w:val="002060"/>
          <w:sz w:val="22"/>
          <w:szCs w:val="22"/>
        </w:rPr>
        <w:t>Dónde se presenta el reporte</w:t>
      </w:r>
      <w:r>
        <w:rPr>
          <w:rFonts w:ascii="Arial" w:eastAsia="Arial" w:hAnsi="Arial" w:cs="Arial"/>
          <w:b/>
          <w:color w:val="002060"/>
          <w:sz w:val="22"/>
          <w:szCs w:val="22"/>
        </w:rPr>
        <w:tab/>
      </w:r>
      <w:r>
        <w:rPr>
          <w:rFonts w:ascii="Arial" w:eastAsia="Arial" w:hAnsi="Arial" w:cs="Arial"/>
          <w:color w:val="002060"/>
          <w:sz w:val="22"/>
          <w:szCs w:val="22"/>
        </w:rPr>
        <w:t>:</w:t>
      </w:r>
      <w:r>
        <w:rPr>
          <w:rFonts w:ascii="Arial" w:eastAsia="Arial" w:hAnsi="Arial" w:cs="Arial"/>
          <w:color w:val="002060"/>
          <w:sz w:val="22"/>
          <w:szCs w:val="22"/>
        </w:rPr>
        <w:tab/>
        <w:t>Comisión de Planeamiento</w:t>
      </w:r>
    </w:p>
    <w:p w14:paraId="1CF02558" w14:textId="77777777" w:rsidR="00B50826" w:rsidRDefault="00B50826">
      <w:pPr>
        <w:ind w:left="12"/>
        <w:rPr>
          <w:rFonts w:ascii="Arial" w:eastAsia="Arial" w:hAnsi="Arial" w:cs="Arial"/>
          <w:color w:val="002060"/>
          <w:sz w:val="22"/>
          <w:szCs w:val="22"/>
        </w:rPr>
      </w:pPr>
    </w:p>
    <w:p w14:paraId="43D55D70" w14:textId="77777777" w:rsidR="00B50826" w:rsidRDefault="00B50826">
      <w:pPr>
        <w:ind w:left="2844" w:hanging="2832"/>
        <w:rPr>
          <w:rFonts w:ascii="Arial" w:eastAsia="Arial" w:hAnsi="Arial" w:cs="Arial"/>
          <w:color w:val="002060"/>
          <w:sz w:val="22"/>
          <w:szCs w:val="22"/>
        </w:rPr>
      </w:pPr>
    </w:p>
    <w:p w14:paraId="6B6E5B91" w14:textId="77777777" w:rsidR="00B50826" w:rsidRDefault="00006AE2">
      <w:pPr>
        <w:ind w:left="12"/>
        <w:jc w:val="both"/>
        <w:rPr>
          <w:rFonts w:ascii="Arial" w:eastAsia="Arial" w:hAnsi="Arial" w:cs="Arial"/>
          <w:b/>
          <w:color w:val="002060"/>
          <w:sz w:val="22"/>
          <w:szCs w:val="22"/>
        </w:rPr>
      </w:pPr>
      <w:r>
        <w:rPr>
          <w:rFonts w:ascii="Arial" w:eastAsia="Arial" w:hAnsi="Arial" w:cs="Arial"/>
          <w:b/>
          <w:color w:val="002060"/>
          <w:sz w:val="22"/>
          <w:szCs w:val="22"/>
        </w:rPr>
        <w:t>Contenido de la Evaluación de la Estrategia Regional de Desarrollo Rural Bajo en Emisiones</w:t>
      </w:r>
    </w:p>
    <w:p w14:paraId="03BBA744" w14:textId="77777777" w:rsidR="00B50826" w:rsidRDefault="00B50826">
      <w:pPr>
        <w:ind w:left="2844" w:hanging="2832"/>
        <w:rPr>
          <w:rFonts w:ascii="Arial" w:eastAsia="Arial" w:hAnsi="Arial" w:cs="Arial"/>
          <w:b/>
          <w:color w:val="002060"/>
          <w:sz w:val="22"/>
          <w:szCs w:val="22"/>
        </w:rPr>
      </w:pPr>
    </w:p>
    <w:p w14:paraId="510C8A3C" w14:textId="77777777" w:rsidR="00B50826" w:rsidRDefault="00006AE2">
      <w:pPr>
        <w:numPr>
          <w:ilvl w:val="0"/>
          <w:numId w:val="12"/>
        </w:numPr>
        <w:pBdr>
          <w:top w:val="nil"/>
          <w:left w:val="nil"/>
          <w:bottom w:val="nil"/>
          <w:right w:val="nil"/>
          <w:between w:val="nil"/>
        </w:pBdr>
        <w:jc w:val="both"/>
        <w:rPr>
          <w:rFonts w:ascii="Arial" w:eastAsia="Arial" w:hAnsi="Arial" w:cs="Arial"/>
          <w:color w:val="002060"/>
          <w:sz w:val="22"/>
          <w:szCs w:val="22"/>
        </w:rPr>
      </w:pPr>
      <w:r>
        <w:rPr>
          <w:rFonts w:ascii="Arial" w:eastAsia="Arial" w:hAnsi="Arial" w:cs="Arial"/>
          <w:color w:val="002060"/>
          <w:sz w:val="22"/>
          <w:szCs w:val="22"/>
        </w:rPr>
        <w:t xml:space="preserve">Cumplimiento de los Objetivos de la ERDRBE. </w:t>
      </w:r>
    </w:p>
    <w:p w14:paraId="691FF1EB" w14:textId="77777777" w:rsidR="00B50826" w:rsidRDefault="00006AE2">
      <w:pPr>
        <w:numPr>
          <w:ilvl w:val="0"/>
          <w:numId w:val="12"/>
        </w:numPr>
        <w:pBdr>
          <w:top w:val="nil"/>
          <w:left w:val="nil"/>
          <w:bottom w:val="nil"/>
          <w:right w:val="nil"/>
          <w:between w:val="nil"/>
        </w:pBdr>
        <w:jc w:val="both"/>
        <w:rPr>
          <w:rFonts w:ascii="Arial" w:eastAsia="Arial" w:hAnsi="Arial" w:cs="Arial"/>
          <w:color w:val="002060"/>
          <w:sz w:val="22"/>
          <w:szCs w:val="22"/>
        </w:rPr>
      </w:pPr>
      <w:r>
        <w:rPr>
          <w:rFonts w:ascii="Arial" w:eastAsia="Arial" w:hAnsi="Arial" w:cs="Arial"/>
          <w:color w:val="002060"/>
          <w:sz w:val="22"/>
          <w:szCs w:val="22"/>
        </w:rPr>
        <w:t>Análisis de los Factores que han afectado el cumplimiento de los Objetivos del Plan</w:t>
      </w:r>
    </w:p>
    <w:p w14:paraId="0990A136" w14:textId="77777777" w:rsidR="00B50826" w:rsidRDefault="00006AE2">
      <w:pPr>
        <w:numPr>
          <w:ilvl w:val="0"/>
          <w:numId w:val="12"/>
        </w:numPr>
        <w:pBdr>
          <w:top w:val="nil"/>
          <w:left w:val="nil"/>
          <w:bottom w:val="nil"/>
          <w:right w:val="nil"/>
          <w:between w:val="nil"/>
        </w:pBdr>
        <w:jc w:val="both"/>
        <w:rPr>
          <w:rFonts w:ascii="Arial" w:eastAsia="Arial" w:hAnsi="Arial" w:cs="Arial"/>
          <w:color w:val="002060"/>
          <w:sz w:val="22"/>
          <w:szCs w:val="22"/>
        </w:rPr>
      </w:pPr>
      <w:r>
        <w:rPr>
          <w:rFonts w:ascii="Arial" w:eastAsia="Arial" w:hAnsi="Arial" w:cs="Arial"/>
          <w:color w:val="002060"/>
          <w:sz w:val="22"/>
          <w:szCs w:val="22"/>
        </w:rPr>
        <w:t>Perspectivas de Mejora de las Intervenciones</w:t>
      </w:r>
    </w:p>
    <w:p w14:paraId="0C854A1F" w14:textId="77777777" w:rsidR="00B50826" w:rsidRDefault="00006AE2">
      <w:pPr>
        <w:numPr>
          <w:ilvl w:val="0"/>
          <w:numId w:val="12"/>
        </w:numPr>
        <w:pBdr>
          <w:top w:val="nil"/>
          <w:left w:val="nil"/>
          <w:bottom w:val="nil"/>
          <w:right w:val="nil"/>
          <w:between w:val="nil"/>
        </w:pBdr>
        <w:jc w:val="both"/>
        <w:rPr>
          <w:rFonts w:ascii="Arial" w:eastAsia="Arial" w:hAnsi="Arial" w:cs="Arial"/>
          <w:color w:val="002060"/>
          <w:sz w:val="22"/>
          <w:szCs w:val="22"/>
        </w:rPr>
      </w:pPr>
      <w:r>
        <w:rPr>
          <w:rFonts w:ascii="Arial" w:eastAsia="Arial" w:hAnsi="Arial" w:cs="Arial"/>
          <w:color w:val="002060"/>
          <w:sz w:val="22"/>
          <w:szCs w:val="22"/>
        </w:rPr>
        <w:t>Análisis de Actores que Operan en el Territorio</w:t>
      </w:r>
    </w:p>
    <w:p w14:paraId="70792EE5" w14:textId="77777777" w:rsidR="00B50826" w:rsidRDefault="00006AE2">
      <w:pPr>
        <w:numPr>
          <w:ilvl w:val="0"/>
          <w:numId w:val="12"/>
        </w:numPr>
        <w:pBdr>
          <w:top w:val="nil"/>
          <w:left w:val="nil"/>
          <w:bottom w:val="nil"/>
          <w:right w:val="nil"/>
          <w:between w:val="nil"/>
        </w:pBdr>
        <w:jc w:val="both"/>
        <w:rPr>
          <w:rFonts w:ascii="Arial" w:eastAsia="Arial" w:hAnsi="Arial" w:cs="Arial"/>
          <w:color w:val="002060"/>
          <w:sz w:val="22"/>
          <w:szCs w:val="22"/>
        </w:rPr>
      </w:pPr>
      <w:r>
        <w:rPr>
          <w:rFonts w:ascii="Arial" w:eastAsia="Arial" w:hAnsi="Arial" w:cs="Arial"/>
          <w:color w:val="002060"/>
          <w:sz w:val="22"/>
          <w:szCs w:val="22"/>
        </w:rPr>
        <w:t>Conclusiones y Recomendaciones</w:t>
      </w:r>
    </w:p>
    <w:p w14:paraId="74090AC3" w14:textId="77777777" w:rsidR="00B50826" w:rsidRDefault="00006AE2">
      <w:pPr>
        <w:numPr>
          <w:ilvl w:val="0"/>
          <w:numId w:val="12"/>
        </w:numPr>
        <w:pBdr>
          <w:top w:val="nil"/>
          <w:left w:val="nil"/>
          <w:bottom w:val="nil"/>
          <w:right w:val="nil"/>
          <w:between w:val="nil"/>
        </w:pBdr>
        <w:jc w:val="both"/>
        <w:rPr>
          <w:rFonts w:ascii="Arial" w:eastAsia="Arial" w:hAnsi="Arial" w:cs="Arial"/>
          <w:color w:val="002060"/>
          <w:sz w:val="22"/>
          <w:szCs w:val="22"/>
        </w:rPr>
      </w:pPr>
      <w:r>
        <w:rPr>
          <w:rFonts w:ascii="Arial" w:eastAsia="Arial" w:hAnsi="Arial" w:cs="Arial"/>
          <w:color w:val="002060"/>
          <w:sz w:val="22"/>
          <w:szCs w:val="22"/>
        </w:rPr>
        <w:t>Anexos</w:t>
      </w:r>
    </w:p>
    <w:p w14:paraId="19EED98C" w14:textId="77777777" w:rsidR="00B50826" w:rsidRDefault="00B50826">
      <w:pPr>
        <w:ind w:left="12"/>
        <w:rPr>
          <w:rFonts w:ascii="Arial" w:eastAsia="Arial" w:hAnsi="Arial" w:cs="Arial"/>
          <w:b/>
          <w:color w:val="002060"/>
          <w:sz w:val="22"/>
          <w:szCs w:val="22"/>
        </w:rPr>
      </w:pPr>
    </w:p>
    <w:p w14:paraId="7B1C8953" w14:textId="77777777" w:rsidR="00B50826" w:rsidRDefault="00B50826">
      <w:pPr>
        <w:ind w:left="12"/>
        <w:rPr>
          <w:rFonts w:ascii="Arial" w:eastAsia="Arial" w:hAnsi="Arial" w:cs="Arial"/>
          <w:b/>
          <w:color w:val="002060"/>
          <w:sz w:val="22"/>
          <w:szCs w:val="22"/>
        </w:rPr>
      </w:pPr>
    </w:p>
    <w:p w14:paraId="10CD4192" w14:textId="77777777" w:rsidR="00B50826" w:rsidRDefault="00B50826">
      <w:pPr>
        <w:ind w:left="12"/>
        <w:rPr>
          <w:rFonts w:ascii="Arial" w:eastAsia="Arial" w:hAnsi="Arial" w:cs="Arial"/>
          <w:b/>
          <w:color w:val="002060"/>
          <w:sz w:val="22"/>
          <w:szCs w:val="22"/>
        </w:rPr>
      </w:pPr>
    </w:p>
    <w:p w14:paraId="2D5940CD" w14:textId="77777777" w:rsidR="00B50826" w:rsidRDefault="00B50826">
      <w:pPr>
        <w:ind w:left="12"/>
        <w:rPr>
          <w:rFonts w:ascii="Arial" w:eastAsia="Arial" w:hAnsi="Arial" w:cs="Arial"/>
          <w:b/>
          <w:color w:val="002060"/>
          <w:sz w:val="22"/>
          <w:szCs w:val="22"/>
        </w:rPr>
      </w:pPr>
    </w:p>
    <w:p w14:paraId="5417CC3E" w14:textId="77777777" w:rsidR="00B50826" w:rsidRDefault="00B50826">
      <w:pPr>
        <w:ind w:left="12"/>
        <w:rPr>
          <w:rFonts w:ascii="Arial" w:eastAsia="Arial" w:hAnsi="Arial" w:cs="Arial"/>
          <w:b/>
          <w:color w:val="002060"/>
          <w:sz w:val="22"/>
          <w:szCs w:val="22"/>
        </w:rPr>
        <w:sectPr w:rsidR="00B50826">
          <w:pgSz w:w="11906" w:h="16838"/>
          <w:pgMar w:top="1418" w:right="1701" w:bottom="1418" w:left="1843" w:header="709" w:footer="709" w:gutter="0"/>
          <w:cols w:space="720" w:equalWidth="0">
            <w:col w:w="8838"/>
          </w:cols>
        </w:sectPr>
      </w:pPr>
    </w:p>
    <w:p w14:paraId="30034336" w14:textId="77777777" w:rsidR="00B50826" w:rsidRDefault="00006AE2" w:rsidP="00D029B1">
      <w:pPr>
        <w:numPr>
          <w:ilvl w:val="0"/>
          <w:numId w:val="20"/>
        </w:numPr>
        <w:pBdr>
          <w:top w:val="nil"/>
          <w:left w:val="nil"/>
          <w:bottom w:val="nil"/>
          <w:right w:val="nil"/>
          <w:between w:val="nil"/>
        </w:pBdr>
        <w:ind w:left="0" w:hanging="284"/>
        <w:rPr>
          <w:rFonts w:ascii="Arial" w:eastAsia="Arial" w:hAnsi="Arial" w:cs="Arial"/>
          <w:b/>
          <w:color w:val="002060"/>
        </w:rPr>
      </w:pPr>
      <w:r>
        <w:rPr>
          <w:rFonts w:ascii="Arial" w:eastAsia="Arial" w:hAnsi="Arial" w:cs="Arial"/>
          <w:b/>
          <w:color w:val="002060"/>
        </w:rPr>
        <w:lastRenderedPageBreak/>
        <w:t>ANEXOS</w:t>
      </w:r>
    </w:p>
    <w:p w14:paraId="08363C8C" w14:textId="77777777" w:rsidR="00B50826" w:rsidRDefault="00B50826">
      <w:pPr>
        <w:rPr>
          <w:rFonts w:ascii="Arial" w:eastAsia="Arial" w:hAnsi="Arial" w:cs="Arial"/>
          <w:b/>
          <w:color w:val="002060"/>
        </w:rPr>
      </w:pPr>
    </w:p>
    <w:p w14:paraId="23BD76BE" w14:textId="77777777" w:rsidR="00B50826" w:rsidRDefault="00006AE2">
      <w:pPr>
        <w:rPr>
          <w:rFonts w:ascii="Arial" w:eastAsia="Arial" w:hAnsi="Arial" w:cs="Arial"/>
          <w:color w:val="002060"/>
        </w:rPr>
      </w:pPr>
      <w:r w:rsidRPr="00097513">
        <w:rPr>
          <w:rFonts w:ascii="Arial" w:eastAsia="Arial" w:hAnsi="Arial" w:cs="Arial"/>
          <w:color w:val="002060"/>
          <w:sz w:val="20"/>
          <w:szCs w:val="20"/>
        </w:rPr>
        <w:t>Anexo N</w:t>
      </w:r>
      <w:proofErr w:type="gramStart"/>
      <w:r w:rsidRPr="00097513">
        <w:rPr>
          <w:rFonts w:ascii="Arial" w:eastAsia="Arial" w:hAnsi="Arial" w:cs="Arial"/>
          <w:color w:val="002060"/>
          <w:sz w:val="20"/>
          <w:szCs w:val="20"/>
        </w:rPr>
        <w:t>°  Causas</w:t>
      </w:r>
      <w:proofErr w:type="gramEnd"/>
      <w:r w:rsidRPr="00097513">
        <w:rPr>
          <w:rFonts w:ascii="Arial" w:eastAsia="Arial" w:hAnsi="Arial" w:cs="Arial"/>
          <w:color w:val="002060"/>
          <w:sz w:val="20"/>
          <w:szCs w:val="20"/>
        </w:rPr>
        <w:t xml:space="preserve"> de deforestación por cultivos</w:t>
      </w:r>
      <w:r w:rsidR="001E34B7" w:rsidRPr="00097513">
        <w:rPr>
          <w:rFonts w:ascii="Arial" w:eastAsia="Arial" w:hAnsi="Arial" w:cs="Arial"/>
          <w:color w:val="002060"/>
          <w:sz w:val="20"/>
          <w:szCs w:val="20"/>
        </w:rPr>
        <w:t xml:space="preserve">, </w:t>
      </w:r>
      <w:r w:rsidR="00097513" w:rsidRPr="00097513">
        <w:rPr>
          <w:rFonts w:ascii="Arial" w:eastAsia="Arial" w:hAnsi="Arial" w:cs="Arial"/>
          <w:color w:val="002060"/>
          <w:sz w:val="20"/>
          <w:szCs w:val="20"/>
        </w:rPr>
        <w:t>agentes y tipología de bosques</w:t>
      </w:r>
      <w:r>
        <w:rPr>
          <w:rFonts w:ascii="Arial" w:eastAsia="Arial" w:hAnsi="Arial" w:cs="Arial"/>
          <w:color w:val="002060"/>
        </w:rPr>
        <w:t>.</w:t>
      </w:r>
    </w:p>
    <w:p w14:paraId="36810D1F" w14:textId="77777777" w:rsidR="00B50826" w:rsidRDefault="00B50826">
      <w:pPr>
        <w:rPr>
          <w:rFonts w:ascii="Arial" w:eastAsia="Arial" w:hAnsi="Arial" w:cs="Arial"/>
          <w:b/>
          <w:color w:val="002060"/>
        </w:rPr>
      </w:pPr>
    </w:p>
    <w:tbl>
      <w:tblPr>
        <w:tblW w:w="8840" w:type="dxa"/>
        <w:tblInd w:w="-5" w:type="dxa"/>
        <w:tblCellMar>
          <w:left w:w="70" w:type="dxa"/>
          <w:right w:w="70" w:type="dxa"/>
        </w:tblCellMar>
        <w:tblLook w:val="04A0" w:firstRow="1" w:lastRow="0" w:firstColumn="1" w:lastColumn="0" w:noHBand="0" w:noVBand="1"/>
      </w:tblPr>
      <w:tblGrid>
        <w:gridCol w:w="1580"/>
        <w:gridCol w:w="2620"/>
        <w:gridCol w:w="2900"/>
        <w:gridCol w:w="1740"/>
      </w:tblGrid>
      <w:tr w:rsidR="001E34B7" w14:paraId="1F83D33B" w14:textId="77777777" w:rsidTr="001E34B7">
        <w:trPr>
          <w:trHeight w:val="480"/>
        </w:trPr>
        <w:tc>
          <w:tcPr>
            <w:tcW w:w="1580" w:type="dxa"/>
            <w:tcBorders>
              <w:top w:val="single" w:sz="4" w:space="0" w:color="auto"/>
              <w:left w:val="single" w:sz="4" w:space="0" w:color="auto"/>
              <w:bottom w:val="double" w:sz="6" w:space="0" w:color="auto"/>
              <w:right w:val="single" w:sz="4" w:space="0" w:color="auto"/>
            </w:tcBorders>
            <w:shd w:val="clear" w:color="000000" w:fill="92D050"/>
            <w:vAlign w:val="center"/>
            <w:hideMark/>
          </w:tcPr>
          <w:p w14:paraId="0FE13DA6" w14:textId="77777777" w:rsidR="001E34B7" w:rsidRDefault="001E34B7">
            <w:pPr>
              <w:jc w:val="center"/>
              <w:rPr>
                <w:rFonts w:ascii="Arial" w:hAnsi="Arial" w:cs="Arial"/>
                <w:b/>
                <w:bCs/>
                <w:color w:val="002060"/>
                <w:sz w:val="16"/>
                <w:szCs w:val="16"/>
              </w:rPr>
            </w:pPr>
            <w:r>
              <w:rPr>
                <w:rFonts w:ascii="Arial" w:eastAsia="Arial" w:hAnsi="Arial" w:cs="Arial"/>
                <w:b/>
                <w:bCs/>
                <w:color w:val="002060"/>
                <w:sz w:val="16"/>
                <w:szCs w:val="16"/>
              </w:rPr>
              <w:t>Causa</w:t>
            </w:r>
          </w:p>
        </w:tc>
        <w:tc>
          <w:tcPr>
            <w:tcW w:w="2620" w:type="dxa"/>
            <w:tcBorders>
              <w:top w:val="single" w:sz="4" w:space="0" w:color="auto"/>
              <w:left w:val="nil"/>
              <w:bottom w:val="double" w:sz="6" w:space="0" w:color="auto"/>
              <w:right w:val="single" w:sz="4" w:space="0" w:color="auto"/>
            </w:tcBorders>
            <w:shd w:val="clear" w:color="000000" w:fill="92D050"/>
            <w:vAlign w:val="center"/>
            <w:hideMark/>
          </w:tcPr>
          <w:p w14:paraId="4F06C58C" w14:textId="77777777" w:rsidR="001E34B7" w:rsidRDefault="001E34B7">
            <w:pPr>
              <w:jc w:val="center"/>
              <w:rPr>
                <w:rFonts w:ascii="Arial" w:hAnsi="Arial" w:cs="Arial"/>
                <w:b/>
                <w:bCs/>
                <w:color w:val="002060"/>
                <w:sz w:val="16"/>
                <w:szCs w:val="16"/>
              </w:rPr>
            </w:pPr>
            <w:r>
              <w:rPr>
                <w:rFonts w:ascii="Arial" w:eastAsia="Arial" w:hAnsi="Arial" w:cs="Arial"/>
                <w:b/>
                <w:bCs/>
                <w:color w:val="002060"/>
                <w:sz w:val="16"/>
                <w:szCs w:val="16"/>
              </w:rPr>
              <w:t>Donde ocurren</w:t>
            </w:r>
          </w:p>
        </w:tc>
        <w:tc>
          <w:tcPr>
            <w:tcW w:w="2900" w:type="dxa"/>
            <w:tcBorders>
              <w:top w:val="single" w:sz="4" w:space="0" w:color="auto"/>
              <w:left w:val="nil"/>
              <w:bottom w:val="double" w:sz="6" w:space="0" w:color="auto"/>
              <w:right w:val="single" w:sz="4" w:space="0" w:color="auto"/>
            </w:tcBorders>
            <w:shd w:val="clear" w:color="000000" w:fill="92D050"/>
            <w:vAlign w:val="center"/>
            <w:hideMark/>
          </w:tcPr>
          <w:p w14:paraId="51D56732" w14:textId="77777777" w:rsidR="001E34B7" w:rsidRDefault="001E34B7">
            <w:pPr>
              <w:jc w:val="center"/>
              <w:rPr>
                <w:rFonts w:ascii="Arial" w:hAnsi="Arial" w:cs="Arial"/>
                <w:b/>
                <w:bCs/>
                <w:color w:val="002060"/>
                <w:sz w:val="16"/>
                <w:szCs w:val="16"/>
              </w:rPr>
            </w:pPr>
            <w:r>
              <w:rPr>
                <w:rFonts w:ascii="Arial" w:eastAsia="Arial" w:hAnsi="Arial" w:cs="Arial"/>
                <w:b/>
                <w:bCs/>
                <w:color w:val="002060"/>
                <w:sz w:val="16"/>
                <w:szCs w:val="16"/>
              </w:rPr>
              <w:t>Agentes y características</w:t>
            </w:r>
          </w:p>
        </w:tc>
        <w:tc>
          <w:tcPr>
            <w:tcW w:w="1740" w:type="dxa"/>
            <w:tcBorders>
              <w:top w:val="single" w:sz="4" w:space="0" w:color="auto"/>
              <w:left w:val="nil"/>
              <w:bottom w:val="double" w:sz="6" w:space="0" w:color="auto"/>
              <w:right w:val="single" w:sz="4" w:space="0" w:color="auto"/>
            </w:tcBorders>
            <w:shd w:val="clear" w:color="000000" w:fill="92D050"/>
            <w:vAlign w:val="center"/>
            <w:hideMark/>
          </w:tcPr>
          <w:p w14:paraId="02E4D31E" w14:textId="77777777" w:rsidR="001E34B7" w:rsidRDefault="001E34B7">
            <w:pPr>
              <w:jc w:val="center"/>
              <w:rPr>
                <w:rFonts w:ascii="Arial" w:hAnsi="Arial" w:cs="Arial"/>
                <w:b/>
                <w:bCs/>
                <w:color w:val="002060"/>
                <w:sz w:val="16"/>
                <w:szCs w:val="16"/>
              </w:rPr>
            </w:pPr>
            <w:r>
              <w:rPr>
                <w:rFonts w:ascii="Arial" w:eastAsia="Arial" w:hAnsi="Arial" w:cs="Arial"/>
                <w:b/>
                <w:bCs/>
                <w:color w:val="002060"/>
                <w:sz w:val="16"/>
                <w:szCs w:val="16"/>
              </w:rPr>
              <w:t>Categorías legales de uso</w:t>
            </w:r>
          </w:p>
        </w:tc>
      </w:tr>
      <w:tr w:rsidR="001E34B7" w14:paraId="411172CD" w14:textId="77777777" w:rsidTr="00097513">
        <w:trPr>
          <w:trHeight w:val="1909"/>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1F4B5428"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 xml:space="preserve">Pastos </w:t>
            </w:r>
          </w:p>
        </w:tc>
        <w:tc>
          <w:tcPr>
            <w:tcW w:w="2620" w:type="dxa"/>
            <w:tcBorders>
              <w:top w:val="nil"/>
              <w:left w:val="nil"/>
              <w:bottom w:val="single" w:sz="4" w:space="0" w:color="auto"/>
              <w:right w:val="single" w:sz="4" w:space="0" w:color="auto"/>
            </w:tcBorders>
            <w:shd w:val="clear" w:color="000000" w:fill="FFFFFF"/>
            <w:vAlign w:val="center"/>
            <w:hideMark/>
          </w:tcPr>
          <w:p w14:paraId="27E84538"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Las áreas instaladas con pasto son principalmente para la crianza de ganado vacuno y se concentra en las provincias de Puerto Inca (distrito de Codo del Pozuzo, Yuyapichis y Puerto Inca), Leoncio Prado (distritos de Pucayacu, Aucayacu y Santo Domingo de Anda) y en la provincia de </w:t>
            </w:r>
            <w:proofErr w:type="spellStart"/>
            <w:r>
              <w:rPr>
                <w:rFonts w:ascii="Arial" w:eastAsia="Arial" w:hAnsi="Arial" w:cs="Arial"/>
                <w:color w:val="002060"/>
                <w:sz w:val="16"/>
                <w:szCs w:val="16"/>
              </w:rPr>
              <w:t>Humalíes</w:t>
            </w:r>
            <w:proofErr w:type="spellEnd"/>
            <w:r>
              <w:rPr>
                <w:rFonts w:ascii="Arial" w:eastAsia="Arial" w:hAnsi="Arial" w:cs="Arial"/>
                <w:color w:val="002060"/>
                <w:sz w:val="16"/>
                <w:szCs w:val="16"/>
              </w:rPr>
              <w:t>.</w:t>
            </w:r>
          </w:p>
        </w:tc>
        <w:tc>
          <w:tcPr>
            <w:tcW w:w="2900" w:type="dxa"/>
            <w:tcBorders>
              <w:top w:val="nil"/>
              <w:left w:val="nil"/>
              <w:bottom w:val="single" w:sz="4" w:space="0" w:color="auto"/>
              <w:right w:val="single" w:sz="4" w:space="0" w:color="auto"/>
            </w:tcBorders>
            <w:shd w:val="clear" w:color="000000" w:fill="FFFFFF"/>
            <w:vAlign w:val="center"/>
            <w:hideMark/>
          </w:tcPr>
          <w:p w14:paraId="14B44226"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vinculados a la actividad ganadera, son pequeños, medianos y grandes ganaderos; así como pequeños empresarios ganaderos quienes básicamente operan en el distrito de Codo del Pozuzo. La técnica utilizada en el roso, la tumba y quema como técnica tradicional.</w:t>
            </w:r>
          </w:p>
        </w:tc>
        <w:tc>
          <w:tcPr>
            <w:tcW w:w="1740" w:type="dxa"/>
            <w:tcBorders>
              <w:top w:val="nil"/>
              <w:left w:val="nil"/>
              <w:bottom w:val="single" w:sz="4" w:space="0" w:color="auto"/>
              <w:right w:val="single" w:sz="4" w:space="0" w:color="auto"/>
            </w:tcBorders>
            <w:shd w:val="clear" w:color="000000" w:fill="FFFFFF"/>
            <w:vAlign w:val="center"/>
            <w:hideMark/>
          </w:tcPr>
          <w:p w14:paraId="625A663F"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Bosques de producción permanente, concesiones, bosques de libre disponibilidad del estado y predios privados </w:t>
            </w:r>
          </w:p>
        </w:tc>
      </w:tr>
      <w:tr w:rsidR="001E34B7" w14:paraId="4B02A4B7" w14:textId="77777777" w:rsidTr="00097513">
        <w:trPr>
          <w:trHeight w:val="1547"/>
        </w:trPr>
        <w:tc>
          <w:tcPr>
            <w:tcW w:w="1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6DFC3C"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Café</w:t>
            </w:r>
          </w:p>
        </w:tc>
        <w:tc>
          <w:tcPr>
            <w:tcW w:w="2620" w:type="dxa"/>
            <w:tcBorders>
              <w:top w:val="nil"/>
              <w:left w:val="nil"/>
              <w:bottom w:val="single" w:sz="4" w:space="0" w:color="auto"/>
              <w:right w:val="single" w:sz="4" w:space="0" w:color="auto"/>
            </w:tcBorders>
            <w:shd w:val="clear" w:color="000000" w:fill="FFFFFF"/>
            <w:vAlign w:val="center"/>
            <w:hideMark/>
          </w:tcPr>
          <w:p w14:paraId="77727ADC" w14:textId="77777777" w:rsidR="001E34B7" w:rsidRDefault="001E34B7">
            <w:pPr>
              <w:rPr>
                <w:rFonts w:ascii="Arial" w:hAnsi="Arial" w:cs="Arial"/>
                <w:color w:val="002060"/>
                <w:sz w:val="16"/>
                <w:szCs w:val="16"/>
              </w:rPr>
            </w:pPr>
            <w:proofErr w:type="spellStart"/>
            <w:r>
              <w:rPr>
                <w:rFonts w:ascii="Arial" w:eastAsia="Arial" w:hAnsi="Arial" w:cs="Arial"/>
                <w:color w:val="002060"/>
                <w:sz w:val="16"/>
                <w:szCs w:val="16"/>
              </w:rPr>
              <w:t>Humalíes</w:t>
            </w:r>
            <w:proofErr w:type="spellEnd"/>
            <w:r>
              <w:rPr>
                <w:rFonts w:ascii="Arial" w:eastAsia="Arial" w:hAnsi="Arial" w:cs="Arial"/>
                <w:color w:val="002060"/>
                <w:sz w:val="16"/>
                <w:szCs w:val="16"/>
              </w:rPr>
              <w:t xml:space="preserve">, Leoncio Prado, Pachitea y Huánuco son las principales provincias productoras de café, cultivos instalados en zonas cuya altitud es igual o superior a los 1,200 msnm. </w:t>
            </w:r>
          </w:p>
        </w:tc>
        <w:tc>
          <w:tcPr>
            <w:tcW w:w="2900" w:type="dxa"/>
            <w:tcBorders>
              <w:top w:val="nil"/>
              <w:left w:val="nil"/>
              <w:bottom w:val="single" w:sz="4" w:space="0" w:color="auto"/>
              <w:right w:val="single" w:sz="4" w:space="0" w:color="auto"/>
            </w:tcBorders>
            <w:shd w:val="clear" w:color="000000" w:fill="FFFFFF"/>
            <w:vAlign w:val="center"/>
            <w:hideMark/>
          </w:tcPr>
          <w:p w14:paraId="7DE04DCB"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Los pequeños productores son los agentes causales; este cultivo es tradicionalmente el principal causante de la deforestación en la parte alta de la </w:t>
            </w:r>
            <w:r w:rsidR="001367B5">
              <w:rPr>
                <w:rFonts w:ascii="Arial" w:eastAsia="Arial" w:hAnsi="Arial" w:cs="Arial"/>
                <w:color w:val="002060"/>
                <w:sz w:val="16"/>
                <w:szCs w:val="16"/>
              </w:rPr>
              <w:t>Amazonía</w:t>
            </w:r>
            <w:r>
              <w:rPr>
                <w:rFonts w:ascii="Arial" w:eastAsia="Arial" w:hAnsi="Arial" w:cs="Arial"/>
                <w:color w:val="002060"/>
                <w:sz w:val="16"/>
                <w:szCs w:val="16"/>
              </w:rPr>
              <w:t xml:space="preserve">; sin embargo en los últimos años el precio ha caído, desmotivando a los productores la instalación de nuevas áreas. </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1558F6"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Bosques de producción permanente, bosques de libre disponibilidad del </w:t>
            </w:r>
            <w:proofErr w:type="gramStart"/>
            <w:r>
              <w:rPr>
                <w:rFonts w:ascii="Arial" w:eastAsia="Arial" w:hAnsi="Arial" w:cs="Arial"/>
                <w:color w:val="002060"/>
                <w:sz w:val="16"/>
                <w:szCs w:val="16"/>
              </w:rPr>
              <w:t>estado,  predios</w:t>
            </w:r>
            <w:proofErr w:type="gramEnd"/>
            <w:r>
              <w:rPr>
                <w:rFonts w:ascii="Arial" w:eastAsia="Arial" w:hAnsi="Arial" w:cs="Arial"/>
                <w:color w:val="002060"/>
                <w:sz w:val="16"/>
                <w:szCs w:val="16"/>
              </w:rPr>
              <w:t xml:space="preserve"> privados y dentro del territorio de Comunidades Campesinas</w:t>
            </w:r>
          </w:p>
        </w:tc>
      </w:tr>
      <w:tr w:rsidR="001E34B7" w14:paraId="3A9C7E3F" w14:textId="77777777" w:rsidTr="001E34B7">
        <w:trPr>
          <w:trHeight w:val="1575"/>
        </w:trPr>
        <w:tc>
          <w:tcPr>
            <w:tcW w:w="1580" w:type="dxa"/>
            <w:vMerge/>
            <w:tcBorders>
              <w:top w:val="nil"/>
              <w:left w:val="single" w:sz="4" w:space="0" w:color="auto"/>
              <w:bottom w:val="single" w:sz="4" w:space="0" w:color="auto"/>
              <w:right w:val="single" w:sz="4" w:space="0" w:color="auto"/>
            </w:tcBorders>
            <w:vAlign w:val="center"/>
            <w:hideMark/>
          </w:tcPr>
          <w:p w14:paraId="3F75E808" w14:textId="77777777" w:rsidR="001E34B7" w:rsidRDefault="001E34B7">
            <w:pPr>
              <w:rPr>
                <w:rFonts w:ascii="Arial" w:hAnsi="Arial" w:cs="Arial"/>
                <w:color w:val="002060"/>
                <w:sz w:val="16"/>
                <w:szCs w:val="16"/>
              </w:rPr>
            </w:pPr>
          </w:p>
        </w:tc>
        <w:tc>
          <w:tcPr>
            <w:tcW w:w="2620" w:type="dxa"/>
            <w:tcBorders>
              <w:top w:val="nil"/>
              <w:left w:val="nil"/>
              <w:bottom w:val="single" w:sz="4" w:space="0" w:color="auto"/>
              <w:right w:val="single" w:sz="4" w:space="0" w:color="auto"/>
            </w:tcBorders>
            <w:shd w:val="clear" w:color="000000" w:fill="FFFFFF"/>
            <w:vAlign w:val="center"/>
            <w:hideMark/>
          </w:tcPr>
          <w:p w14:paraId="295355CC"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Es importante precisar que es la provincia de Pachitea en el distrito de </w:t>
            </w:r>
            <w:proofErr w:type="spellStart"/>
            <w:r>
              <w:rPr>
                <w:rFonts w:ascii="Arial" w:eastAsia="Arial" w:hAnsi="Arial" w:cs="Arial"/>
                <w:color w:val="002060"/>
                <w:sz w:val="16"/>
                <w:szCs w:val="16"/>
              </w:rPr>
              <w:t>Chaglla</w:t>
            </w:r>
            <w:proofErr w:type="spellEnd"/>
            <w:r>
              <w:rPr>
                <w:rFonts w:ascii="Arial" w:eastAsia="Arial" w:hAnsi="Arial" w:cs="Arial"/>
                <w:color w:val="002060"/>
                <w:sz w:val="16"/>
                <w:szCs w:val="16"/>
              </w:rPr>
              <w:t xml:space="preserve"> en donde se ha incrementado en los últimos años las áreas destinadas para el sembrío del café. </w:t>
            </w:r>
          </w:p>
        </w:tc>
        <w:tc>
          <w:tcPr>
            <w:tcW w:w="2900" w:type="dxa"/>
            <w:tcBorders>
              <w:top w:val="nil"/>
              <w:left w:val="nil"/>
              <w:bottom w:val="single" w:sz="4" w:space="0" w:color="auto"/>
              <w:right w:val="single" w:sz="4" w:space="0" w:color="auto"/>
            </w:tcBorders>
            <w:shd w:val="clear" w:color="000000" w:fill="FFFFFF"/>
            <w:vAlign w:val="center"/>
            <w:hideMark/>
          </w:tcPr>
          <w:p w14:paraId="7D0F333F"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La comercialización se hace a través de empresas acopiadoras instaladas en dichos lugares como Romero </w:t>
            </w:r>
            <w:proofErr w:type="spellStart"/>
            <w:r>
              <w:rPr>
                <w:rFonts w:ascii="Arial" w:eastAsia="Arial" w:hAnsi="Arial" w:cs="Arial"/>
                <w:color w:val="002060"/>
                <w:sz w:val="16"/>
                <w:szCs w:val="16"/>
              </w:rPr>
              <w:t>Traiding</w:t>
            </w:r>
            <w:proofErr w:type="spellEnd"/>
            <w:r>
              <w:rPr>
                <w:rFonts w:ascii="Arial" w:eastAsia="Arial" w:hAnsi="Arial" w:cs="Arial"/>
                <w:color w:val="002060"/>
                <w:sz w:val="16"/>
                <w:szCs w:val="16"/>
              </w:rPr>
              <w:t xml:space="preserve"> S.A, Machu Picchu Coffe Trading SAC, Asociación de productores Café Cacao de Aucayacu, entre otros.</w:t>
            </w:r>
          </w:p>
        </w:tc>
        <w:tc>
          <w:tcPr>
            <w:tcW w:w="1740" w:type="dxa"/>
            <w:vMerge/>
            <w:tcBorders>
              <w:top w:val="nil"/>
              <w:left w:val="single" w:sz="4" w:space="0" w:color="auto"/>
              <w:bottom w:val="single" w:sz="4" w:space="0" w:color="auto"/>
              <w:right w:val="single" w:sz="4" w:space="0" w:color="auto"/>
            </w:tcBorders>
            <w:vAlign w:val="center"/>
            <w:hideMark/>
          </w:tcPr>
          <w:p w14:paraId="4B2DE44F" w14:textId="77777777" w:rsidR="001E34B7" w:rsidRDefault="001E34B7">
            <w:pPr>
              <w:rPr>
                <w:rFonts w:ascii="Arial" w:hAnsi="Arial" w:cs="Arial"/>
                <w:color w:val="002060"/>
                <w:sz w:val="16"/>
                <w:szCs w:val="16"/>
              </w:rPr>
            </w:pPr>
          </w:p>
        </w:tc>
      </w:tr>
      <w:tr w:rsidR="001E34B7" w14:paraId="6FD60C9E" w14:textId="77777777" w:rsidTr="00097513">
        <w:trPr>
          <w:trHeight w:val="1237"/>
        </w:trPr>
        <w:tc>
          <w:tcPr>
            <w:tcW w:w="1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A3FEAC"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Cacao</w:t>
            </w:r>
          </w:p>
        </w:tc>
        <w:tc>
          <w:tcPr>
            <w:tcW w:w="26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6DC069"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Los cambios ocurridos por la apertura de áreas para la instalación del cultivo de cacao, se ubican principalmente en los distritos de Aucayacu, Pucayacu, Santo Domingo de Anda, Codo del Pozuzo, Honoria y Puerto Inca; así como en Cholón, Daniel </w:t>
            </w:r>
            <w:proofErr w:type="spellStart"/>
            <w:r>
              <w:rPr>
                <w:rFonts w:ascii="Arial" w:eastAsia="Arial" w:hAnsi="Arial" w:cs="Arial"/>
                <w:color w:val="002060"/>
                <w:sz w:val="16"/>
                <w:szCs w:val="16"/>
              </w:rPr>
              <w:t>Alomía</w:t>
            </w:r>
            <w:proofErr w:type="spellEnd"/>
            <w:r>
              <w:rPr>
                <w:rFonts w:ascii="Arial" w:eastAsia="Arial" w:hAnsi="Arial" w:cs="Arial"/>
                <w:color w:val="002060"/>
                <w:sz w:val="16"/>
                <w:szCs w:val="16"/>
              </w:rPr>
              <w:t xml:space="preserve"> Robles, Pueblo Nuevo, Pueblo Nuevo y </w:t>
            </w:r>
            <w:proofErr w:type="spellStart"/>
            <w:r>
              <w:rPr>
                <w:rFonts w:ascii="Arial" w:eastAsia="Arial" w:hAnsi="Arial" w:cs="Arial"/>
                <w:color w:val="002060"/>
                <w:sz w:val="16"/>
                <w:szCs w:val="16"/>
              </w:rPr>
              <w:t>Rupa</w:t>
            </w:r>
            <w:proofErr w:type="spellEnd"/>
            <w:r>
              <w:rPr>
                <w:rFonts w:ascii="Arial" w:eastAsia="Arial" w:hAnsi="Arial" w:cs="Arial"/>
                <w:color w:val="002060"/>
                <w:sz w:val="16"/>
                <w:szCs w:val="16"/>
              </w:rPr>
              <w:t xml:space="preserve"> </w:t>
            </w:r>
            <w:proofErr w:type="spellStart"/>
            <w:r>
              <w:rPr>
                <w:rFonts w:ascii="Arial" w:eastAsia="Arial" w:hAnsi="Arial" w:cs="Arial"/>
                <w:color w:val="002060"/>
                <w:sz w:val="16"/>
                <w:szCs w:val="16"/>
              </w:rPr>
              <w:t>Rupa</w:t>
            </w:r>
            <w:proofErr w:type="spellEnd"/>
            <w:r>
              <w:rPr>
                <w:rFonts w:ascii="Arial" w:eastAsia="Arial" w:hAnsi="Arial" w:cs="Arial"/>
                <w:color w:val="002060"/>
                <w:sz w:val="16"/>
                <w:szCs w:val="16"/>
              </w:rPr>
              <w:t>.</w:t>
            </w:r>
          </w:p>
        </w:tc>
        <w:tc>
          <w:tcPr>
            <w:tcW w:w="2900" w:type="dxa"/>
            <w:tcBorders>
              <w:top w:val="nil"/>
              <w:left w:val="nil"/>
              <w:bottom w:val="single" w:sz="4" w:space="0" w:color="auto"/>
              <w:right w:val="single" w:sz="4" w:space="0" w:color="auto"/>
            </w:tcBorders>
            <w:shd w:val="clear" w:color="000000" w:fill="FFFFFF"/>
            <w:vAlign w:val="center"/>
            <w:hideMark/>
          </w:tcPr>
          <w:p w14:paraId="637B5143"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Actualmente existen diversos proyectos o programas que promueven este cultivo con pequeños o medianos productores; quienes en busca de los mejores suelos para la instalación del cultivo de </w:t>
            </w:r>
            <w:proofErr w:type="gramStart"/>
            <w:r>
              <w:rPr>
                <w:rFonts w:ascii="Arial" w:eastAsia="Arial" w:hAnsi="Arial" w:cs="Arial"/>
                <w:color w:val="002060"/>
                <w:sz w:val="16"/>
                <w:szCs w:val="16"/>
              </w:rPr>
              <w:t>cacao,  suelen</w:t>
            </w:r>
            <w:proofErr w:type="gramEnd"/>
            <w:r>
              <w:rPr>
                <w:rFonts w:ascii="Arial" w:eastAsia="Arial" w:hAnsi="Arial" w:cs="Arial"/>
                <w:color w:val="002060"/>
                <w:sz w:val="16"/>
                <w:szCs w:val="16"/>
              </w:rPr>
              <w:t xml:space="preserve"> deforestar. </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E95E5F"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Bosques de producción permanente, bosques de libre disponibilidad del estado y predios privados </w:t>
            </w:r>
          </w:p>
        </w:tc>
      </w:tr>
      <w:tr w:rsidR="001E34B7" w14:paraId="7A7A396B" w14:textId="77777777" w:rsidTr="001E34B7">
        <w:trPr>
          <w:trHeight w:val="450"/>
        </w:trPr>
        <w:tc>
          <w:tcPr>
            <w:tcW w:w="1580" w:type="dxa"/>
            <w:vMerge/>
            <w:tcBorders>
              <w:top w:val="nil"/>
              <w:left w:val="single" w:sz="4" w:space="0" w:color="auto"/>
              <w:bottom w:val="single" w:sz="4" w:space="0" w:color="auto"/>
              <w:right w:val="single" w:sz="4" w:space="0" w:color="auto"/>
            </w:tcBorders>
            <w:vAlign w:val="center"/>
            <w:hideMark/>
          </w:tcPr>
          <w:p w14:paraId="01AF0CC0" w14:textId="77777777" w:rsidR="001E34B7" w:rsidRDefault="001E34B7">
            <w:pPr>
              <w:rPr>
                <w:rFonts w:ascii="Arial" w:hAnsi="Arial" w:cs="Arial"/>
                <w:color w:val="002060"/>
                <w:sz w:val="16"/>
                <w:szCs w:val="16"/>
              </w:rPr>
            </w:pPr>
          </w:p>
        </w:tc>
        <w:tc>
          <w:tcPr>
            <w:tcW w:w="2620" w:type="dxa"/>
            <w:vMerge/>
            <w:tcBorders>
              <w:top w:val="nil"/>
              <w:left w:val="single" w:sz="4" w:space="0" w:color="auto"/>
              <w:bottom w:val="single" w:sz="4" w:space="0" w:color="auto"/>
              <w:right w:val="single" w:sz="4" w:space="0" w:color="auto"/>
            </w:tcBorders>
            <w:vAlign w:val="center"/>
            <w:hideMark/>
          </w:tcPr>
          <w:p w14:paraId="3388E543" w14:textId="77777777" w:rsidR="001E34B7" w:rsidRDefault="001E34B7">
            <w:pPr>
              <w:rPr>
                <w:rFonts w:ascii="Arial" w:hAnsi="Arial" w:cs="Arial"/>
                <w:color w:val="002060"/>
                <w:sz w:val="16"/>
                <w:szCs w:val="16"/>
              </w:rPr>
            </w:pPr>
          </w:p>
        </w:tc>
        <w:tc>
          <w:tcPr>
            <w:tcW w:w="2900" w:type="dxa"/>
            <w:tcBorders>
              <w:top w:val="nil"/>
              <w:left w:val="nil"/>
              <w:bottom w:val="single" w:sz="4" w:space="0" w:color="auto"/>
              <w:right w:val="single" w:sz="4" w:space="0" w:color="auto"/>
            </w:tcBorders>
            <w:shd w:val="clear" w:color="000000" w:fill="FFFFFF"/>
            <w:vAlign w:val="center"/>
            <w:hideMark/>
          </w:tcPr>
          <w:p w14:paraId="25D00812" w14:textId="77777777" w:rsidR="001E34B7" w:rsidRDefault="001E34B7">
            <w:pPr>
              <w:rPr>
                <w:rFonts w:ascii="Arial" w:hAnsi="Arial" w:cs="Arial"/>
                <w:color w:val="002060"/>
                <w:sz w:val="16"/>
                <w:szCs w:val="16"/>
              </w:rPr>
            </w:pPr>
            <w:r>
              <w:rPr>
                <w:rFonts w:ascii="Arial" w:eastAsia="Arial" w:hAnsi="Arial" w:cs="Arial"/>
                <w:color w:val="002060"/>
                <w:sz w:val="16"/>
                <w:szCs w:val="16"/>
              </w:rPr>
              <w:t>Este cultivo en su primera etapa es asociado al cultivo de plátano.</w:t>
            </w:r>
          </w:p>
        </w:tc>
        <w:tc>
          <w:tcPr>
            <w:tcW w:w="1740" w:type="dxa"/>
            <w:vMerge/>
            <w:tcBorders>
              <w:top w:val="nil"/>
              <w:left w:val="single" w:sz="4" w:space="0" w:color="auto"/>
              <w:bottom w:val="single" w:sz="4" w:space="0" w:color="auto"/>
              <w:right w:val="single" w:sz="4" w:space="0" w:color="auto"/>
            </w:tcBorders>
            <w:vAlign w:val="center"/>
            <w:hideMark/>
          </w:tcPr>
          <w:p w14:paraId="38D26505" w14:textId="77777777" w:rsidR="001E34B7" w:rsidRDefault="001E34B7">
            <w:pPr>
              <w:rPr>
                <w:rFonts w:ascii="Arial" w:hAnsi="Arial" w:cs="Arial"/>
                <w:color w:val="002060"/>
                <w:sz w:val="16"/>
                <w:szCs w:val="16"/>
              </w:rPr>
            </w:pPr>
          </w:p>
        </w:tc>
      </w:tr>
      <w:tr w:rsidR="001E34B7" w14:paraId="69B6560D" w14:textId="77777777" w:rsidTr="001E34B7">
        <w:trPr>
          <w:trHeight w:val="2700"/>
        </w:trPr>
        <w:tc>
          <w:tcPr>
            <w:tcW w:w="1580" w:type="dxa"/>
            <w:vMerge/>
            <w:tcBorders>
              <w:top w:val="nil"/>
              <w:left w:val="single" w:sz="4" w:space="0" w:color="auto"/>
              <w:bottom w:val="single" w:sz="4" w:space="0" w:color="auto"/>
              <w:right w:val="single" w:sz="4" w:space="0" w:color="auto"/>
            </w:tcBorders>
            <w:vAlign w:val="center"/>
            <w:hideMark/>
          </w:tcPr>
          <w:p w14:paraId="3DF9BE73" w14:textId="77777777" w:rsidR="001E34B7" w:rsidRDefault="001E34B7">
            <w:pPr>
              <w:rPr>
                <w:rFonts w:ascii="Arial" w:hAnsi="Arial" w:cs="Arial"/>
                <w:color w:val="002060"/>
                <w:sz w:val="16"/>
                <w:szCs w:val="16"/>
              </w:rPr>
            </w:pPr>
          </w:p>
        </w:tc>
        <w:tc>
          <w:tcPr>
            <w:tcW w:w="2620" w:type="dxa"/>
            <w:vMerge/>
            <w:tcBorders>
              <w:top w:val="nil"/>
              <w:left w:val="single" w:sz="4" w:space="0" w:color="auto"/>
              <w:bottom w:val="single" w:sz="4" w:space="0" w:color="auto"/>
              <w:right w:val="single" w:sz="4" w:space="0" w:color="auto"/>
            </w:tcBorders>
            <w:vAlign w:val="center"/>
            <w:hideMark/>
          </w:tcPr>
          <w:p w14:paraId="310C0FEE" w14:textId="77777777" w:rsidR="001E34B7" w:rsidRDefault="001E34B7">
            <w:pPr>
              <w:rPr>
                <w:rFonts w:ascii="Arial" w:hAnsi="Arial" w:cs="Arial"/>
                <w:color w:val="002060"/>
                <w:sz w:val="16"/>
                <w:szCs w:val="16"/>
              </w:rPr>
            </w:pPr>
          </w:p>
        </w:tc>
        <w:tc>
          <w:tcPr>
            <w:tcW w:w="2900" w:type="dxa"/>
            <w:tcBorders>
              <w:top w:val="nil"/>
              <w:left w:val="nil"/>
              <w:bottom w:val="single" w:sz="4" w:space="0" w:color="auto"/>
              <w:right w:val="single" w:sz="4" w:space="0" w:color="auto"/>
            </w:tcBorders>
            <w:shd w:val="clear" w:color="000000" w:fill="FFFFFF"/>
            <w:vAlign w:val="center"/>
            <w:hideMark/>
          </w:tcPr>
          <w:p w14:paraId="36CBE23F"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La producción es comercializada por empresas u organizaciones como, Cooperativa Naranjillo, la Cooperativa Agroindustrial Cacao Alto Huallaga, Romero Trading, </w:t>
            </w:r>
            <w:proofErr w:type="spellStart"/>
            <w:r>
              <w:rPr>
                <w:rFonts w:ascii="Arial" w:eastAsia="Arial" w:hAnsi="Arial" w:cs="Arial"/>
                <w:color w:val="002060"/>
                <w:sz w:val="16"/>
                <w:szCs w:val="16"/>
              </w:rPr>
              <w:t>Macchu</w:t>
            </w:r>
            <w:proofErr w:type="spellEnd"/>
            <w:r>
              <w:rPr>
                <w:rFonts w:ascii="Arial" w:eastAsia="Arial" w:hAnsi="Arial" w:cs="Arial"/>
                <w:color w:val="002060"/>
                <w:sz w:val="16"/>
                <w:szCs w:val="16"/>
              </w:rPr>
              <w:t xml:space="preserve"> Picchu Trading, Amazonas Trading, </w:t>
            </w:r>
            <w:proofErr w:type="spellStart"/>
            <w:r>
              <w:rPr>
                <w:rFonts w:ascii="Arial" w:eastAsia="Arial" w:hAnsi="Arial" w:cs="Arial"/>
                <w:color w:val="002060"/>
                <w:sz w:val="16"/>
                <w:szCs w:val="16"/>
              </w:rPr>
              <w:t>Sumac</w:t>
            </w:r>
            <w:proofErr w:type="spellEnd"/>
            <w:r>
              <w:rPr>
                <w:rFonts w:ascii="Arial" w:eastAsia="Arial" w:hAnsi="Arial" w:cs="Arial"/>
                <w:color w:val="002060"/>
                <w:sz w:val="16"/>
                <w:szCs w:val="16"/>
              </w:rPr>
              <w:t xml:space="preserve"> Cacao, Cacao VRAE, AUCACOOP, Asociación de Productores Valle Hermosa de Nuevo Progreso, Asociación de Productores Café-Cacao Aucayacu y pequeños comerciantes instalados en la ciudad</w:t>
            </w:r>
          </w:p>
        </w:tc>
        <w:tc>
          <w:tcPr>
            <w:tcW w:w="1740" w:type="dxa"/>
            <w:vMerge/>
            <w:tcBorders>
              <w:top w:val="nil"/>
              <w:left w:val="single" w:sz="4" w:space="0" w:color="auto"/>
              <w:bottom w:val="single" w:sz="4" w:space="0" w:color="auto"/>
              <w:right w:val="single" w:sz="4" w:space="0" w:color="auto"/>
            </w:tcBorders>
            <w:vAlign w:val="center"/>
            <w:hideMark/>
          </w:tcPr>
          <w:p w14:paraId="46B35AFC" w14:textId="77777777" w:rsidR="001E34B7" w:rsidRDefault="001E34B7">
            <w:pPr>
              <w:rPr>
                <w:rFonts w:ascii="Arial" w:hAnsi="Arial" w:cs="Arial"/>
                <w:color w:val="002060"/>
                <w:sz w:val="16"/>
                <w:szCs w:val="16"/>
              </w:rPr>
            </w:pPr>
          </w:p>
        </w:tc>
      </w:tr>
      <w:tr w:rsidR="001E34B7" w14:paraId="614A4A33" w14:textId="77777777" w:rsidTr="00097513">
        <w:trPr>
          <w:trHeight w:val="2259"/>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13102F21"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Plátano</w:t>
            </w:r>
          </w:p>
        </w:tc>
        <w:tc>
          <w:tcPr>
            <w:tcW w:w="2620" w:type="dxa"/>
            <w:tcBorders>
              <w:top w:val="nil"/>
              <w:left w:val="nil"/>
              <w:bottom w:val="single" w:sz="4" w:space="0" w:color="auto"/>
              <w:right w:val="single" w:sz="4" w:space="0" w:color="auto"/>
            </w:tcBorders>
            <w:shd w:val="clear" w:color="000000" w:fill="FFFFFF"/>
            <w:vAlign w:val="center"/>
            <w:hideMark/>
          </w:tcPr>
          <w:p w14:paraId="6EECC8DF"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Los cambios ocurridos por la apertura de áreas para la instalación del cultivo del plátano en el departamento de Huánuco, se concentra básicamente en la provincia de Puerto Inca (distrito de Puerto Inca, Tournavista, Honoria y Codo del Pozuzo), en la provincia de Leoncio Prado (distritos de Aucayacu, Santo Domingo de Anda y Pucayacu) así como en la provincia de </w:t>
            </w:r>
            <w:proofErr w:type="spellStart"/>
            <w:r>
              <w:rPr>
                <w:rFonts w:ascii="Arial" w:eastAsia="Arial" w:hAnsi="Arial" w:cs="Arial"/>
                <w:color w:val="002060"/>
                <w:sz w:val="16"/>
                <w:szCs w:val="16"/>
              </w:rPr>
              <w:t>Humalíes</w:t>
            </w:r>
            <w:proofErr w:type="spellEnd"/>
            <w:r>
              <w:rPr>
                <w:rFonts w:ascii="Arial" w:eastAsia="Arial" w:hAnsi="Arial" w:cs="Arial"/>
                <w:color w:val="002060"/>
                <w:sz w:val="16"/>
                <w:szCs w:val="16"/>
              </w:rPr>
              <w:t>.</w:t>
            </w:r>
          </w:p>
        </w:tc>
        <w:tc>
          <w:tcPr>
            <w:tcW w:w="2900" w:type="dxa"/>
            <w:tcBorders>
              <w:top w:val="nil"/>
              <w:left w:val="nil"/>
              <w:bottom w:val="single" w:sz="4" w:space="0" w:color="auto"/>
              <w:right w:val="single" w:sz="4" w:space="0" w:color="auto"/>
            </w:tcBorders>
            <w:shd w:val="clear" w:color="000000" w:fill="FFFFFF"/>
            <w:vAlign w:val="center"/>
            <w:hideMark/>
          </w:tcPr>
          <w:p w14:paraId="0CE30295" w14:textId="77777777" w:rsidR="001E34B7" w:rsidRDefault="001E34B7">
            <w:pPr>
              <w:rPr>
                <w:rFonts w:ascii="Arial" w:hAnsi="Arial" w:cs="Arial"/>
                <w:color w:val="002060"/>
                <w:sz w:val="16"/>
                <w:szCs w:val="16"/>
              </w:rPr>
            </w:pPr>
            <w:r>
              <w:rPr>
                <w:rFonts w:ascii="Arial" w:eastAsia="Arial" w:hAnsi="Arial" w:cs="Arial"/>
                <w:color w:val="002060"/>
                <w:sz w:val="16"/>
                <w:szCs w:val="16"/>
              </w:rPr>
              <w:t>Los agentes relacionados a esta actividad, son pequeños agricultores, cuya producción está destinado a abastecer el mercado local, regional y nacional, así como para autoconsumo; la tecnología empleada es generalmente tradicional o media; se inicia con la tala del bosque, rozo y quema, instalando el cultivo y con un manejo incipiente (asociada a otros cultivos como café o cacao) o empleo de tecnología media (en monocultivo).</w:t>
            </w:r>
          </w:p>
        </w:tc>
        <w:tc>
          <w:tcPr>
            <w:tcW w:w="1740" w:type="dxa"/>
            <w:tcBorders>
              <w:top w:val="nil"/>
              <w:left w:val="nil"/>
              <w:bottom w:val="single" w:sz="4" w:space="0" w:color="auto"/>
              <w:right w:val="single" w:sz="4" w:space="0" w:color="auto"/>
            </w:tcBorders>
            <w:shd w:val="clear" w:color="000000" w:fill="FFFFFF"/>
            <w:vAlign w:val="center"/>
            <w:hideMark/>
          </w:tcPr>
          <w:p w14:paraId="7BE6D36F"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Bosques de producción permanente, bosques de libre disponibilidad del </w:t>
            </w:r>
            <w:proofErr w:type="gramStart"/>
            <w:r>
              <w:rPr>
                <w:rFonts w:ascii="Arial" w:eastAsia="Arial" w:hAnsi="Arial" w:cs="Arial"/>
                <w:color w:val="002060"/>
                <w:sz w:val="16"/>
                <w:szCs w:val="16"/>
              </w:rPr>
              <w:t>estado,  concesiones</w:t>
            </w:r>
            <w:proofErr w:type="gramEnd"/>
            <w:r>
              <w:rPr>
                <w:rFonts w:ascii="Arial" w:eastAsia="Arial" w:hAnsi="Arial" w:cs="Arial"/>
                <w:color w:val="002060"/>
                <w:sz w:val="16"/>
                <w:szCs w:val="16"/>
              </w:rPr>
              <w:t xml:space="preserve"> forestales y predios rurales.</w:t>
            </w:r>
          </w:p>
        </w:tc>
      </w:tr>
      <w:tr w:rsidR="001E34B7" w14:paraId="260B38CC" w14:textId="77777777" w:rsidTr="00097513">
        <w:trPr>
          <w:trHeight w:val="557"/>
        </w:trPr>
        <w:tc>
          <w:tcPr>
            <w:tcW w:w="1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0D708C"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lastRenderedPageBreak/>
              <w:t>Maíz</w:t>
            </w:r>
          </w:p>
        </w:tc>
        <w:tc>
          <w:tcPr>
            <w:tcW w:w="26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A3ABE2"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Las áreas instaladas con el cultivo de maíz se concentran en las provincias de Puerto Inca (distritos de Codo del Pozuzo, Honoria, Puerto Inca y Yuyapichis), Marañón (distritos de Cholón, La Morada y Santa Rosa de Alto Yanajanca), </w:t>
            </w:r>
            <w:proofErr w:type="spellStart"/>
            <w:r>
              <w:rPr>
                <w:rFonts w:ascii="Arial" w:eastAsia="Arial" w:hAnsi="Arial" w:cs="Arial"/>
                <w:color w:val="002060"/>
                <w:sz w:val="16"/>
                <w:szCs w:val="16"/>
              </w:rPr>
              <w:t>Humalíes</w:t>
            </w:r>
            <w:proofErr w:type="spellEnd"/>
            <w:r>
              <w:rPr>
                <w:rFonts w:ascii="Arial" w:eastAsia="Arial" w:hAnsi="Arial" w:cs="Arial"/>
                <w:color w:val="002060"/>
                <w:sz w:val="16"/>
                <w:szCs w:val="16"/>
              </w:rPr>
              <w:t xml:space="preserve"> (distrito del Monzón), Leoncio Prado (distritos de Aucayacu, Pucayacu y Santo Domingo de Anda) y en menor escala en las provincias de </w:t>
            </w:r>
            <w:proofErr w:type="spellStart"/>
            <w:r>
              <w:rPr>
                <w:rFonts w:ascii="Arial" w:eastAsia="Arial" w:hAnsi="Arial" w:cs="Arial"/>
                <w:color w:val="002060"/>
                <w:sz w:val="16"/>
                <w:szCs w:val="16"/>
              </w:rPr>
              <w:t>Humalíes</w:t>
            </w:r>
            <w:proofErr w:type="spellEnd"/>
            <w:r>
              <w:rPr>
                <w:rFonts w:ascii="Arial" w:eastAsia="Arial" w:hAnsi="Arial" w:cs="Arial"/>
                <w:color w:val="002060"/>
                <w:sz w:val="16"/>
                <w:szCs w:val="16"/>
              </w:rPr>
              <w:t xml:space="preserve"> y Pachitea.</w:t>
            </w:r>
          </w:p>
        </w:tc>
        <w:tc>
          <w:tcPr>
            <w:tcW w:w="2900" w:type="dxa"/>
            <w:tcBorders>
              <w:top w:val="nil"/>
              <w:left w:val="nil"/>
              <w:bottom w:val="single" w:sz="4" w:space="0" w:color="auto"/>
              <w:right w:val="single" w:sz="4" w:space="0" w:color="auto"/>
            </w:tcBorders>
            <w:shd w:val="clear" w:color="000000" w:fill="FFFFFF"/>
            <w:vAlign w:val="center"/>
            <w:hideMark/>
          </w:tcPr>
          <w:p w14:paraId="5205F536"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Los actores relacionados a esta actividad, son pequeños agricultores, y cuya producción está orientado principalmente al mercado local y al autoconsumo. </w:t>
            </w:r>
          </w:p>
        </w:tc>
        <w:tc>
          <w:tcPr>
            <w:tcW w:w="17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9CF90D" w14:textId="77777777" w:rsidR="001E34B7" w:rsidRDefault="001E34B7">
            <w:pPr>
              <w:rPr>
                <w:rFonts w:ascii="Arial" w:hAnsi="Arial" w:cs="Arial"/>
                <w:color w:val="002060"/>
                <w:sz w:val="16"/>
                <w:szCs w:val="16"/>
              </w:rPr>
            </w:pPr>
            <w:r>
              <w:rPr>
                <w:rFonts w:ascii="Arial" w:eastAsia="Arial" w:hAnsi="Arial" w:cs="Arial"/>
                <w:color w:val="002060"/>
                <w:sz w:val="16"/>
                <w:szCs w:val="16"/>
              </w:rPr>
              <w:t>Bosques de producción permanente, bosques de libre disponibilidad del estado y predios privados.</w:t>
            </w:r>
          </w:p>
        </w:tc>
      </w:tr>
      <w:tr w:rsidR="001E34B7" w14:paraId="6310D343" w14:textId="77777777" w:rsidTr="00097513">
        <w:trPr>
          <w:trHeight w:val="499"/>
        </w:trPr>
        <w:tc>
          <w:tcPr>
            <w:tcW w:w="1580" w:type="dxa"/>
            <w:vMerge/>
            <w:tcBorders>
              <w:top w:val="nil"/>
              <w:left w:val="single" w:sz="4" w:space="0" w:color="auto"/>
              <w:bottom w:val="single" w:sz="4" w:space="0" w:color="auto"/>
              <w:right w:val="single" w:sz="4" w:space="0" w:color="auto"/>
            </w:tcBorders>
            <w:vAlign w:val="center"/>
            <w:hideMark/>
          </w:tcPr>
          <w:p w14:paraId="178EB21E" w14:textId="77777777" w:rsidR="001E34B7" w:rsidRDefault="001E34B7">
            <w:pPr>
              <w:rPr>
                <w:rFonts w:ascii="Arial" w:hAnsi="Arial" w:cs="Arial"/>
                <w:color w:val="002060"/>
                <w:sz w:val="16"/>
                <w:szCs w:val="16"/>
              </w:rPr>
            </w:pPr>
          </w:p>
        </w:tc>
        <w:tc>
          <w:tcPr>
            <w:tcW w:w="2620" w:type="dxa"/>
            <w:vMerge/>
            <w:tcBorders>
              <w:top w:val="nil"/>
              <w:left w:val="single" w:sz="4" w:space="0" w:color="auto"/>
              <w:bottom w:val="single" w:sz="4" w:space="0" w:color="auto"/>
              <w:right w:val="single" w:sz="4" w:space="0" w:color="auto"/>
            </w:tcBorders>
            <w:vAlign w:val="center"/>
            <w:hideMark/>
          </w:tcPr>
          <w:p w14:paraId="5853F1BA" w14:textId="77777777" w:rsidR="001E34B7" w:rsidRDefault="001E34B7">
            <w:pPr>
              <w:rPr>
                <w:rFonts w:ascii="Arial" w:hAnsi="Arial" w:cs="Arial"/>
                <w:color w:val="002060"/>
                <w:sz w:val="16"/>
                <w:szCs w:val="16"/>
              </w:rPr>
            </w:pPr>
          </w:p>
        </w:tc>
        <w:tc>
          <w:tcPr>
            <w:tcW w:w="2900" w:type="dxa"/>
            <w:tcBorders>
              <w:top w:val="nil"/>
              <w:left w:val="nil"/>
              <w:bottom w:val="single" w:sz="4" w:space="0" w:color="auto"/>
              <w:right w:val="single" w:sz="4" w:space="0" w:color="auto"/>
            </w:tcBorders>
            <w:shd w:val="clear" w:color="000000" w:fill="FFFFFF"/>
            <w:vAlign w:val="center"/>
            <w:hideMark/>
          </w:tcPr>
          <w:p w14:paraId="276D5BB1" w14:textId="77777777" w:rsidR="001E34B7" w:rsidRDefault="001E34B7">
            <w:pPr>
              <w:rPr>
                <w:rFonts w:ascii="Arial" w:hAnsi="Arial" w:cs="Arial"/>
                <w:color w:val="002060"/>
                <w:sz w:val="16"/>
                <w:szCs w:val="16"/>
              </w:rPr>
            </w:pPr>
            <w:r>
              <w:rPr>
                <w:rFonts w:ascii="Arial" w:eastAsia="Arial" w:hAnsi="Arial" w:cs="Arial"/>
                <w:color w:val="002060"/>
                <w:sz w:val="16"/>
                <w:szCs w:val="16"/>
              </w:rPr>
              <w:t>Los rendimientos son bajos, explicado por la incipiente tecnología empleada; no existe apoyo o promoción para este cultivo.</w:t>
            </w:r>
          </w:p>
        </w:tc>
        <w:tc>
          <w:tcPr>
            <w:tcW w:w="1740" w:type="dxa"/>
            <w:vMerge/>
            <w:tcBorders>
              <w:top w:val="nil"/>
              <w:left w:val="single" w:sz="4" w:space="0" w:color="auto"/>
              <w:bottom w:val="single" w:sz="4" w:space="0" w:color="auto"/>
              <w:right w:val="single" w:sz="4" w:space="0" w:color="auto"/>
            </w:tcBorders>
            <w:vAlign w:val="center"/>
            <w:hideMark/>
          </w:tcPr>
          <w:p w14:paraId="29635717" w14:textId="77777777" w:rsidR="001E34B7" w:rsidRDefault="001E34B7">
            <w:pPr>
              <w:rPr>
                <w:rFonts w:ascii="Arial" w:hAnsi="Arial" w:cs="Arial"/>
                <w:color w:val="002060"/>
                <w:sz w:val="16"/>
                <w:szCs w:val="16"/>
              </w:rPr>
            </w:pPr>
          </w:p>
        </w:tc>
      </w:tr>
      <w:tr w:rsidR="001E34B7" w14:paraId="198AF100" w14:textId="77777777" w:rsidTr="00097513">
        <w:trPr>
          <w:trHeight w:val="157"/>
        </w:trPr>
        <w:tc>
          <w:tcPr>
            <w:tcW w:w="1580" w:type="dxa"/>
            <w:vMerge/>
            <w:tcBorders>
              <w:top w:val="nil"/>
              <w:left w:val="single" w:sz="4" w:space="0" w:color="auto"/>
              <w:bottom w:val="single" w:sz="4" w:space="0" w:color="auto"/>
              <w:right w:val="single" w:sz="4" w:space="0" w:color="auto"/>
            </w:tcBorders>
            <w:vAlign w:val="center"/>
            <w:hideMark/>
          </w:tcPr>
          <w:p w14:paraId="17859D3D" w14:textId="77777777" w:rsidR="001E34B7" w:rsidRDefault="001E34B7">
            <w:pPr>
              <w:rPr>
                <w:rFonts w:ascii="Arial" w:hAnsi="Arial" w:cs="Arial"/>
                <w:color w:val="002060"/>
                <w:sz w:val="16"/>
                <w:szCs w:val="16"/>
              </w:rPr>
            </w:pPr>
          </w:p>
        </w:tc>
        <w:tc>
          <w:tcPr>
            <w:tcW w:w="2620" w:type="dxa"/>
            <w:vMerge/>
            <w:tcBorders>
              <w:top w:val="nil"/>
              <w:left w:val="single" w:sz="4" w:space="0" w:color="auto"/>
              <w:bottom w:val="single" w:sz="4" w:space="0" w:color="auto"/>
              <w:right w:val="single" w:sz="4" w:space="0" w:color="auto"/>
            </w:tcBorders>
            <w:vAlign w:val="center"/>
            <w:hideMark/>
          </w:tcPr>
          <w:p w14:paraId="7BEDF636" w14:textId="77777777" w:rsidR="001E34B7" w:rsidRDefault="001E34B7">
            <w:pPr>
              <w:rPr>
                <w:rFonts w:ascii="Arial" w:hAnsi="Arial" w:cs="Arial"/>
                <w:color w:val="002060"/>
                <w:sz w:val="16"/>
                <w:szCs w:val="16"/>
              </w:rPr>
            </w:pPr>
          </w:p>
        </w:tc>
        <w:tc>
          <w:tcPr>
            <w:tcW w:w="2900" w:type="dxa"/>
            <w:tcBorders>
              <w:top w:val="nil"/>
              <w:left w:val="nil"/>
              <w:bottom w:val="single" w:sz="4" w:space="0" w:color="auto"/>
              <w:right w:val="single" w:sz="4" w:space="0" w:color="auto"/>
            </w:tcBorders>
            <w:shd w:val="clear" w:color="000000" w:fill="FFFFFF"/>
            <w:vAlign w:val="center"/>
            <w:hideMark/>
          </w:tcPr>
          <w:p w14:paraId="730B79A3" w14:textId="77777777" w:rsidR="001E34B7" w:rsidRDefault="001E34B7">
            <w:pPr>
              <w:rPr>
                <w:rFonts w:ascii="Arial" w:hAnsi="Arial" w:cs="Arial"/>
                <w:color w:val="002060"/>
                <w:sz w:val="16"/>
                <w:szCs w:val="16"/>
              </w:rPr>
            </w:pPr>
            <w:r>
              <w:rPr>
                <w:rFonts w:ascii="Arial" w:eastAsia="Arial" w:hAnsi="Arial" w:cs="Arial"/>
                <w:color w:val="002060"/>
                <w:sz w:val="16"/>
                <w:szCs w:val="16"/>
              </w:rPr>
              <w:t>Por lo general se asocia en la etapa inicial con los cultivos de cacao o café.</w:t>
            </w:r>
          </w:p>
        </w:tc>
        <w:tc>
          <w:tcPr>
            <w:tcW w:w="1740" w:type="dxa"/>
            <w:vMerge/>
            <w:tcBorders>
              <w:top w:val="nil"/>
              <w:left w:val="single" w:sz="4" w:space="0" w:color="auto"/>
              <w:bottom w:val="single" w:sz="4" w:space="0" w:color="auto"/>
              <w:right w:val="single" w:sz="4" w:space="0" w:color="auto"/>
            </w:tcBorders>
            <w:vAlign w:val="center"/>
            <w:hideMark/>
          </w:tcPr>
          <w:p w14:paraId="1A466485" w14:textId="77777777" w:rsidR="001E34B7" w:rsidRDefault="001E34B7">
            <w:pPr>
              <w:rPr>
                <w:rFonts w:ascii="Arial" w:hAnsi="Arial" w:cs="Arial"/>
                <w:color w:val="002060"/>
                <w:sz w:val="16"/>
                <w:szCs w:val="16"/>
              </w:rPr>
            </w:pPr>
          </w:p>
        </w:tc>
      </w:tr>
      <w:tr w:rsidR="001E34B7" w14:paraId="145E543A" w14:textId="77777777" w:rsidTr="00097513">
        <w:trPr>
          <w:trHeight w:val="2419"/>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024C46B3"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Arroz</w:t>
            </w:r>
          </w:p>
        </w:tc>
        <w:tc>
          <w:tcPr>
            <w:tcW w:w="2620" w:type="dxa"/>
            <w:tcBorders>
              <w:top w:val="nil"/>
              <w:left w:val="nil"/>
              <w:bottom w:val="single" w:sz="4" w:space="0" w:color="auto"/>
              <w:right w:val="single" w:sz="4" w:space="0" w:color="auto"/>
            </w:tcBorders>
            <w:shd w:val="clear" w:color="000000" w:fill="FFFFFF"/>
            <w:vAlign w:val="center"/>
            <w:hideMark/>
          </w:tcPr>
          <w:p w14:paraId="4340EF42"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Las áreas instaladas para el cultivo del arroz, se encuentran ubicados principalmente en las provincias de Puerto Inca (distritos de Puerto Inca, Honoria, Codo del Pozuzo, Yuyapichis y Tournavista), Marañón (distrito la Morada, Santa Rosa de Alto Yanajanca y Cholón), y en la provincia de Leoncio Prado (distritos de Pucayacu, Pueblo Nuevo, José Crespo y Castillo, Santo Domingo de Anda, Daniel </w:t>
            </w:r>
            <w:proofErr w:type="spellStart"/>
            <w:r>
              <w:rPr>
                <w:rFonts w:ascii="Arial" w:eastAsia="Arial" w:hAnsi="Arial" w:cs="Arial"/>
                <w:color w:val="002060"/>
                <w:sz w:val="16"/>
                <w:szCs w:val="16"/>
              </w:rPr>
              <w:t>Alomía</w:t>
            </w:r>
            <w:proofErr w:type="spellEnd"/>
            <w:r>
              <w:rPr>
                <w:rFonts w:ascii="Arial" w:eastAsia="Arial" w:hAnsi="Arial" w:cs="Arial"/>
                <w:color w:val="002060"/>
                <w:sz w:val="16"/>
                <w:szCs w:val="16"/>
              </w:rPr>
              <w:t xml:space="preserve"> Robles y Castillo Nuevo), </w:t>
            </w:r>
            <w:proofErr w:type="spellStart"/>
            <w:r>
              <w:rPr>
                <w:rFonts w:ascii="Arial" w:eastAsia="Arial" w:hAnsi="Arial" w:cs="Arial"/>
                <w:color w:val="002060"/>
                <w:sz w:val="16"/>
                <w:szCs w:val="16"/>
              </w:rPr>
              <w:t>Humalíes</w:t>
            </w:r>
            <w:proofErr w:type="spellEnd"/>
            <w:r>
              <w:rPr>
                <w:rFonts w:ascii="Arial" w:eastAsia="Arial" w:hAnsi="Arial" w:cs="Arial"/>
                <w:color w:val="002060"/>
                <w:sz w:val="16"/>
                <w:szCs w:val="16"/>
              </w:rPr>
              <w:t xml:space="preserve"> (distrito del Monzón)</w:t>
            </w:r>
          </w:p>
        </w:tc>
        <w:tc>
          <w:tcPr>
            <w:tcW w:w="2900" w:type="dxa"/>
            <w:tcBorders>
              <w:top w:val="nil"/>
              <w:left w:val="nil"/>
              <w:bottom w:val="single" w:sz="4" w:space="0" w:color="auto"/>
              <w:right w:val="single" w:sz="4" w:space="0" w:color="auto"/>
            </w:tcBorders>
            <w:shd w:val="clear" w:color="000000" w:fill="FFFFFF"/>
            <w:vAlign w:val="center"/>
            <w:hideMark/>
          </w:tcPr>
          <w:p w14:paraId="2D279397"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relacionados a ésta actividades son medianos agricultores y pequeños empresarios arroceros, quienes han habilitado áreas inicialmente destinadas a la actividad ganadera o aguajales y, que en la actualidad han sido convertidas en sembríos de arroz.</w:t>
            </w:r>
          </w:p>
        </w:tc>
        <w:tc>
          <w:tcPr>
            <w:tcW w:w="1740" w:type="dxa"/>
            <w:tcBorders>
              <w:top w:val="nil"/>
              <w:left w:val="nil"/>
              <w:bottom w:val="single" w:sz="4" w:space="0" w:color="auto"/>
              <w:right w:val="single" w:sz="4" w:space="0" w:color="auto"/>
            </w:tcBorders>
            <w:shd w:val="clear" w:color="000000" w:fill="FFFFFF"/>
            <w:vAlign w:val="center"/>
            <w:hideMark/>
          </w:tcPr>
          <w:p w14:paraId="6255E5D0" w14:textId="77777777" w:rsidR="001E34B7" w:rsidRDefault="001E34B7">
            <w:pPr>
              <w:rPr>
                <w:rFonts w:ascii="Arial" w:hAnsi="Arial" w:cs="Arial"/>
                <w:color w:val="002060"/>
                <w:sz w:val="16"/>
                <w:szCs w:val="16"/>
              </w:rPr>
            </w:pPr>
            <w:r>
              <w:rPr>
                <w:rFonts w:ascii="Arial" w:eastAsia="Arial" w:hAnsi="Arial" w:cs="Arial"/>
                <w:color w:val="002060"/>
                <w:sz w:val="16"/>
                <w:szCs w:val="16"/>
              </w:rPr>
              <w:t>Predios privados</w:t>
            </w:r>
          </w:p>
        </w:tc>
      </w:tr>
      <w:tr w:rsidR="001E34B7" w14:paraId="1BFB534B" w14:textId="77777777" w:rsidTr="00097513">
        <w:trPr>
          <w:trHeight w:val="2629"/>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01D1EB9F"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Palma aceitera</w:t>
            </w:r>
          </w:p>
        </w:tc>
        <w:tc>
          <w:tcPr>
            <w:tcW w:w="2620" w:type="dxa"/>
            <w:tcBorders>
              <w:top w:val="nil"/>
              <w:left w:val="nil"/>
              <w:bottom w:val="single" w:sz="4" w:space="0" w:color="auto"/>
              <w:right w:val="single" w:sz="4" w:space="0" w:color="auto"/>
            </w:tcBorders>
            <w:shd w:val="clear" w:color="000000" w:fill="FFFFFF"/>
            <w:vAlign w:val="center"/>
            <w:hideMark/>
          </w:tcPr>
          <w:p w14:paraId="6D48EF3A" w14:textId="77777777" w:rsidR="001E34B7" w:rsidRDefault="001E34B7">
            <w:pPr>
              <w:rPr>
                <w:rFonts w:ascii="Arial" w:hAnsi="Arial" w:cs="Arial"/>
                <w:color w:val="002060"/>
                <w:sz w:val="16"/>
                <w:szCs w:val="16"/>
              </w:rPr>
            </w:pPr>
            <w:r>
              <w:rPr>
                <w:rFonts w:ascii="Arial" w:eastAsia="Arial" w:hAnsi="Arial" w:cs="Arial"/>
                <w:color w:val="002060"/>
                <w:sz w:val="16"/>
                <w:szCs w:val="16"/>
              </w:rPr>
              <w:t>Son las provincias de Puerto Inca en los distritos de Honoria, Tournavista y puerto Inca, así como la provincia de Marañón en el distrito de Cholón, las que concentran las áreas instaladas para el cultivo de palma aceitera</w:t>
            </w:r>
          </w:p>
        </w:tc>
        <w:tc>
          <w:tcPr>
            <w:tcW w:w="2900" w:type="dxa"/>
            <w:tcBorders>
              <w:top w:val="nil"/>
              <w:left w:val="nil"/>
              <w:bottom w:val="single" w:sz="4" w:space="0" w:color="auto"/>
              <w:right w:val="single" w:sz="4" w:space="0" w:color="auto"/>
            </w:tcBorders>
            <w:shd w:val="clear" w:color="000000" w:fill="FFFFFF"/>
            <w:vAlign w:val="center"/>
            <w:hideMark/>
          </w:tcPr>
          <w:p w14:paraId="220E7451"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vinculados a éste cultivo son pequeños y medianos agricultores, empresas y asociaciones de productores, y cuya producción es comercializada a través de la Asociación Agropecuaria “Nuevo Amanecer y ASPRAPA y FUNDO PALMERITO, producción que es trasladado a la Región Ucayali y de la provincia de marañón lo comercializan en la Empresa Aceitera Palma del Espino, ubicada en Santa Lucia-Tocache, empresa que se traslada al Centro Poblado de  Paraíso para recoger el producto, por no contar con plantas procesadoras.</w:t>
            </w:r>
          </w:p>
        </w:tc>
        <w:tc>
          <w:tcPr>
            <w:tcW w:w="1740" w:type="dxa"/>
            <w:tcBorders>
              <w:top w:val="nil"/>
              <w:left w:val="nil"/>
              <w:bottom w:val="single" w:sz="4" w:space="0" w:color="auto"/>
              <w:right w:val="single" w:sz="4" w:space="0" w:color="auto"/>
            </w:tcBorders>
            <w:shd w:val="clear" w:color="000000" w:fill="FFFFFF"/>
            <w:vAlign w:val="center"/>
            <w:hideMark/>
          </w:tcPr>
          <w:p w14:paraId="1F9115BA" w14:textId="77777777" w:rsidR="001E34B7" w:rsidRDefault="001E34B7">
            <w:pPr>
              <w:rPr>
                <w:rFonts w:ascii="Arial" w:hAnsi="Arial" w:cs="Arial"/>
                <w:color w:val="002060"/>
                <w:sz w:val="16"/>
                <w:szCs w:val="16"/>
              </w:rPr>
            </w:pPr>
            <w:r>
              <w:rPr>
                <w:rFonts w:ascii="Arial" w:eastAsia="Arial" w:hAnsi="Arial" w:cs="Arial"/>
                <w:color w:val="002060"/>
                <w:sz w:val="16"/>
                <w:szCs w:val="16"/>
              </w:rPr>
              <w:t>Bosques de producción permanente, predios privados.</w:t>
            </w:r>
          </w:p>
        </w:tc>
      </w:tr>
      <w:tr w:rsidR="001E34B7" w14:paraId="19E1D00C" w14:textId="77777777" w:rsidTr="00097513">
        <w:trPr>
          <w:trHeight w:val="1523"/>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13B72C1B"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Granadilla</w:t>
            </w:r>
          </w:p>
        </w:tc>
        <w:tc>
          <w:tcPr>
            <w:tcW w:w="2620" w:type="dxa"/>
            <w:tcBorders>
              <w:top w:val="nil"/>
              <w:left w:val="nil"/>
              <w:bottom w:val="single" w:sz="4" w:space="0" w:color="auto"/>
              <w:right w:val="single" w:sz="4" w:space="0" w:color="auto"/>
            </w:tcBorders>
            <w:shd w:val="clear" w:color="000000" w:fill="FFFFFF"/>
            <w:vAlign w:val="center"/>
            <w:hideMark/>
          </w:tcPr>
          <w:p w14:paraId="7523C2B3" w14:textId="77777777" w:rsidR="001E34B7" w:rsidRDefault="001E34B7">
            <w:pPr>
              <w:rPr>
                <w:rFonts w:ascii="Arial" w:hAnsi="Arial" w:cs="Arial"/>
                <w:color w:val="002060"/>
                <w:sz w:val="16"/>
                <w:szCs w:val="16"/>
              </w:rPr>
            </w:pPr>
            <w:r>
              <w:rPr>
                <w:rFonts w:ascii="Arial" w:eastAsia="Arial" w:hAnsi="Arial" w:cs="Arial"/>
                <w:color w:val="002060"/>
                <w:sz w:val="16"/>
                <w:szCs w:val="16"/>
              </w:rPr>
              <w:t xml:space="preserve">Los cambios ocurridos por la apertura de áreas para la instalación de la granadilla, se concentra básicamente en las provincias de Huánuco (distrito de Acomayo), provincia de Pachitea (distrito de </w:t>
            </w:r>
            <w:proofErr w:type="spellStart"/>
            <w:r>
              <w:rPr>
                <w:rFonts w:ascii="Arial" w:eastAsia="Arial" w:hAnsi="Arial" w:cs="Arial"/>
                <w:color w:val="002060"/>
                <w:sz w:val="16"/>
                <w:szCs w:val="16"/>
              </w:rPr>
              <w:t>Umarí</w:t>
            </w:r>
            <w:proofErr w:type="spellEnd"/>
            <w:r>
              <w:rPr>
                <w:rFonts w:ascii="Arial" w:eastAsia="Arial" w:hAnsi="Arial" w:cs="Arial"/>
                <w:color w:val="002060"/>
                <w:sz w:val="16"/>
                <w:szCs w:val="16"/>
              </w:rPr>
              <w:t xml:space="preserve">), así como en los distritos de Santa María del Valle y </w:t>
            </w:r>
            <w:proofErr w:type="spellStart"/>
            <w:r>
              <w:rPr>
                <w:rFonts w:ascii="Arial" w:eastAsia="Arial" w:hAnsi="Arial" w:cs="Arial"/>
                <w:color w:val="002060"/>
                <w:sz w:val="16"/>
                <w:szCs w:val="16"/>
              </w:rPr>
              <w:t>Churubamba</w:t>
            </w:r>
            <w:proofErr w:type="spellEnd"/>
            <w:r>
              <w:rPr>
                <w:rFonts w:ascii="Arial" w:eastAsia="Arial" w:hAnsi="Arial" w:cs="Arial"/>
                <w:color w:val="002060"/>
                <w:sz w:val="16"/>
                <w:szCs w:val="16"/>
              </w:rPr>
              <w:t>.</w:t>
            </w:r>
          </w:p>
        </w:tc>
        <w:tc>
          <w:tcPr>
            <w:tcW w:w="2900" w:type="dxa"/>
            <w:tcBorders>
              <w:top w:val="nil"/>
              <w:left w:val="nil"/>
              <w:bottom w:val="single" w:sz="4" w:space="0" w:color="auto"/>
              <w:right w:val="single" w:sz="4" w:space="0" w:color="auto"/>
            </w:tcBorders>
            <w:shd w:val="clear" w:color="000000" w:fill="FFFFFF"/>
            <w:vAlign w:val="center"/>
            <w:hideMark/>
          </w:tcPr>
          <w:p w14:paraId="77F14463"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relacionados a este cultivo son principalmente pequeños agricultores y cuya producción está orientado al mercado nacional.</w:t>
            </w:r>
          </w:p>
        </w:tc>
        <w:tc>
          <w:tcPr>
            <w:tcW w:w="1740" w:type="dxa"/>
            <w:tcBorders>
              <w:top w:val="nil"/>
              <w:left w:val="nil"/>
              <w:bottom w:val="single" w:sz="4" w:space="0" w:color="auto"/>
              <w:right w:val="single" w:sz="4" w:space="0" w:color="auto"/>
            </w:tcBorders>
            <w:shd w:val="clear" w:color="000000" w:fill="FFFFFF"/>
            <w:vAlign w:val="center"/>
            <w:hideMark/>
          </w:tcPr>
          <w:p w14:paraId="7DD97170" w14:textId="77777777" w:rsidR="001E34B7" w:rsidRDefault="001E34B7">
            <w:pPr>
              <w:rPr>
                <w:rFonts w:ascii="Arial" w:hAnsi="Arial" w:cs="Arial"/>
                <w:color w:val="002060"/>
                <w:sz w:val="16"/>
                <w:szCs w:val="16"/>
              </w:rPr>
            </w:pPr>
            <w:r>
              <w:rPr>
                <w:rFonts w:ascii="Arial" w:eastAsia="Arial" w:hAnsi="Arial" w:cs="Arial"/>
                <w:color w:val="002060"/>
                <w:sz w:val="16"/>
                <w:szCs w:val="16"/>
              </w:rPr>
              <w:t>Bosques de libre disponibilidad del estado y predios privados.</w:t>
            </w:r>
          </w:p>
        </w:tc>
      </w:tr>
      <w:tr w:rsidR="001E34B7" w14:paraId="68F2DDBF" w14:textId="77777777" w:rsidTr="00097513">
        <w:trPr>
          <w:trHeight w:val="852"/>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06F727AB"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Hortensia</w:t>
            </w:r>
          </w:p>
        </w:tc>
        <w:tc>
          <w:tcPr>
            <w:tcW w:w="2620" w:type="dxa"/>
            <w:tcBorders>
              <w:top w:val="nil"/>
              <w:left w:val="nil"/>
              <w:bottom w:val="single" w:sz="4" w:space="0" w:color="auto"/>
              <w:right w:val="single" w:sz="4" w:space="0" w:color="auto"/>
            </w:tcBorders>
            <w:shd w:val="clear" w:color="000000" w:fill="FFFFFF"/>
            <w:vAlign w:val="center"/>
            <w:hideMark/>
          </w:tcPr>
          <w:p w14:paraId="52B96D4A" w14:textId="77777777" w:rsidR="001E34B7" w:rsidRDefault="001E34B7">
            <w:pPr>
              <w:rPr>
                <w:rFonts w:ascii="Arial" w:hAnsi="Arial" w:cs="Arial"/>
                <w:color w:val="002060"/>
                <w:sz w:val="16"/>
                <w:szCs w:val="16"/>
              </w:rPr>
            </w:pPr>
            <w:r>
              <w:rPr>
                <w:rFonts w:ascii="Arial" w:eastAsia="Arial" w:hAnsi="Arial" w:cs="Arial"/>
                <w:color w:val="002060"/>
                <w:sz w:val="16"/>
                <w:szCs w:val="16"/>
              </w:rPr>
              <w:t>Las áreas intervenidas para la instalación de hortensias están concentradas principalmente en el distrito de Acomayo en la provincia de Huánuco.</w:t>
            </w:r>
          </w:p>
        </w:tc>
        <w:tc>
          <w:tcPr>
            <w:tcW w:w="2900" w:type="dxa"/>
            <w:tcBorders>
              <w:top w:val="nil"/>
              <w:left w:val="nil"/>
              <w:bottom w:val="single" w:sz="4" w:space="0" w:color="auto"/>
              <w:right w:val="single" w:sz="4" w:space="0" w:color="auto"/>
            </w:tcBorders>
            <w:shd w:val="clear" w:color="000000" w:fill="FFFFFF"/>
            <w:vAlign w:val="center"/>
            <w:hideMark/>
          </w:tcPr>
          <w:p w14:paraId="2EA28321"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dedicados a este cultivo son pequeños agricultores y cuya producción está orientado al mercado nacional.</w:t>
            </w:r>
          </w:p>
        </w:tc>
        <w:tc>
          <w:tcPr>
            <w:tcW w:w="1740" w:type="dxa"/>
            <w:tcBorders>
              <w:top w:val="nil"/>
              <w:left w:val="nil"/>
              <w:bottom w:val="single" w:sz="4" w:space="0" w:color="auto"/>
              <w:right w:val="single" w:sz="4" w:space="0" w:color="auto"/>
            </w:tcBorders>
            <w:shd w:val="clear" w:color="000000" w:fill="FFFFFF"/>
            <w:vAlign w:val="center"/>
            <w:hideMark/>
          </w:tcPr>
          <w:p w14:paraId="2B8D5B43" w14:textId="77777777" w:rsidR="001E34B7" w:rsidRDefault="001E34B7">
            <w:pPr>
              <w:rPr>
                <w:rFonts w:ascii="Arial" w:hAnsi="Arial" w:cs="Arial"/>
                <w:color w:val="002060"/>
                <w:sz w:val="16"/>
                <w:szCs w:val="16"/>
              </w:rPr>
            </w:pPr>
            <w:r>
              <w:rPr>
                <w:rFonts w:ascii="Arial" w:eastAsia="Arial" w:hAnsi="Arial" w:cs="Arial"/>
                <w:color w:val="002060"/>
                <w:sz w:val="16"/>
                <w:szCs w:val="16"/>
              </w:rPr>
              <w:t>Bosques de libre disponibilidad del estado y predios privados.</w:t>
            </w:r>
          </w:p>
        </w:tc>
      </w:tr>
      <w:tr w:rsidR="001E34B7" w14:paraId="05E21F5A" w14:textId="77777777" w:rsidTr="00097513">
        <w:trPr>
          <w:trHeight w:val="1333"/>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4831E25F"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Papaya</w:t>
            </w:r>
          </w:p>
        </w:tc>
        <w:tc>
          <w:tcPr>
            <w:tcW w:w="2620" w:type="dxa"/>
            <w:tcBorders>
              <w:top w:val="nil"/>
              <w:left w:val="nil"/>
              <w:bottom w:val="single" w:sz="4" w:space="0" w:color="auto"/>
              <w:right w:val="single" w:sz="4" w:space="0" w:color="auto"/>
            </w:tcBorders>
            <w:shd w:val="clear" w:color="000000" w:fill="FFFFFF"/>
            <w:vAlign w:val="center"/>
            <w:hideMark/>
          </w:tcPr>
          <w:p w14:paraId="3CC62543" w14:textId="77777777" w:rsidR="001E34B7" w:rsidRDefault="001E34B7">
            <w:pPr>
              <w:rPr>
                <w:rFonts w:ascii="Arial" w:hAnsi="Arial" w:cs="Arial"/>
                <w:color w:val="002060"/>
                <w:sz w:val="16"/>
                <w:szCs w:val="16"/>
              </w:rPr>
            </w:pPr>
            <w:r>
              <w:rPr>
                <w:rFonts w:ascii="Arial" w:eastAsia="Arial" w:hAnsi="Arial" w:cs="Arial"/>
                <w:color w:val="002060"/>
                <w:sz w:val="16"/>
                <w:szCs w:val="16"/>
              </w:rPr>
              <w:t>Las áreas instaladas con cultivos de papaya, se ubican en las provincias de Puerto Inca (distritos de Codo del Pozuzo, Puerto Inca, Tournavista, Yuyapichis y Honoria) y en la provincia de Leoncio Prado (distritos de Aucayacu y Pucayacu).</w:t>
            </w:r>
          </w:p>
        </w:tc>
        <w:tc>
          <w:tcPr>
            <w:tcW w:w="2900" w:type="dxa"/>
            <w:tcBorders>
              <w:top w:val="nil"/>
              <w:left w:val="nil"/>
              <w:bottom w:val="single" w:sz="4" w:space="0" w:color="auto"/>
              <w:right w:val="single" w:sz="4" w:space="0" w:color="auto"/>
            </w:tcBorders>
            <w:shd w:val="clear" w:color="000000" w:fill="FFFFFF"/>
            <w:vAlign w:val="center"/>
            <w:hideMark/>
          </w:tcPr>
          <w:p w14:paraId="18905183"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relacionados a este cultivo son pequeños agricultores y empresarios, cuya producción está orientado al mercado local y nacional</w:t>
            </w:r>
          </w:p>
        </w:tc>
        <w:tc>
          <w:tcPr>
            <w:tcW w:w="1740" w:type="dxa"/>
            <w:tcBorders>
              <w:top w:val="nil"/>
              <w:left w:val="nil"/>
              <w:bottom w:val="single" w:sz="4" w:space="0" w:color="auto"/>
              <w:right w:val="single" w:sz="4" w:space="0" w:color="auto"/>
            </w:tcBorders>
            <w:shd w:val="clear" w:color="000000" w:fill="FFFFFF"/>
            <w:vAlign w:val="center"/>
            <w:hideMark/>
          </w:tcPr>
          <w:p w14:paraId="7393BDB8" w14:textId="77777777" w:rsidR="001E34B7" w:rsidRDefault="001E34B7">
            <w:pPr>
              <w:rPr>
                <w:rFonts w:ascii="Arial" w:hAnsi="Arial" w:cs="Arial"/>
                <w:color w:val="002060"/>
                <w:sz w:val="16"/>
                <w:szCs w:val="16"/>
              </w:rPr>
            </w:pPr>
            <w:r>
              <w:rPr>
                <w:rFonts w:ascii="Arial" w:eastAsia="Arial" w:hAnsi="Arial" w:cs="Arial"/>
                <w:color w:val="002060"/>
                <w:sz w:val="16"/>
                <w:szCs w:val="16"/>
              </w:rPr>
              <w:t>BPP, Bosques de libre disponibilidad del estado, predios privados predios privados y comunidades nativas.</w:t>
            </w:r>
          </w:p>
        </w:tc>
      </w:tr>
      <w:tr w:rsidR="001E34B7" w14:paraId="7F1042F2" w14:textId="77777777" w:rsidTr="00097513">
        <w:trPr>
          <w:trHeight w:val="132"/>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4ED97B90"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t>Piña</w:t>
            </w:r>
          </w:p>
        </w:tc>
        <w:tc>
          <w:tcPr>
            <w:tcW w:w="2620" w:type="dxa"/>
            <w:tcBorders>
              <w:top w:val="nil"/>
              <w:left w:val="nil"/>
              <w:bottom w:val="single" w:sz="4" w:space="0" w:color="auto"/>
              <w:right w:val="single" w:sz="4" w:space="0" w:color="auto"/>
            </w:tcBorders>
            <w:shd w:val="clear" w:color="000000" w:fill="FFFFFF"/>
            <w:vAlign w:val="center"/>
            <w:hideMark/>
          </w:tcPr>
          <w:p w14:paraId="0866222D" w14:textId="77777777" w:rsidR="001E34B7" w:rsidRDefault="001E34B7">
            <w:pPr>
              <w:rPr>
                <w:rFonts w:ascii="Arial" w:hAnsi="Arial" w:cs="Arial"/>
                <w:color w:val="002060"/>
                <w:sz w:val="16"/>
                <w:szCs w:val="16"/>
              </w:rPr>
            </w:pPr>
            <w:r>
              <w:rPr>
                <w:rFonts w:ascii="Arial" w:eastAsia="Arial" w:hAnsi="Arial" w:cs="Arial"/>
                <w:color w:val="002060"/>
                <w:sz w:val="16"/>
                <w:szCs w:val="16"/>
              </w:rPr>
              <w:t>El cambio en la cobertura del bosque para la instalación del cultivo, se concentra en la provincia de Leoncio Prado, en los distritos de Pucayacu, Aucayacu, Santo Domingo de Anda y José Crespo y Castillo)</w:t>
            </w:r>
          </w:p>
        </w:tc>
        <w:tc>
          <w:tcPr>
            <w:tcW w:w="2900" w:type="dxa"/>
            <w:tcBorders>
              <w:top w:val="nil"/>
              <w:left w:val="nil"/>
              <w:bottom w:val="single" w:sz="4" w:space="0" w:color="auto"/>
              <w:right w:val="single" w:sz="4" w:space="0" w:color="auto"/>
            </w:tcBorders>
            <w:shd w:val="clear" w:color="000000" w:fill="FFFFFF"/>
            <w:vAlign w:val="center"/>
            <w:hideMark/>
          </w:tcPr>
          <w:p w14:paraId="5139CA2D"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relacionados a esta actividad, básicamente son pequeños agricultores, quienes utilizan la técnica tradicional del roso, tumba y quema para la instalación del cultivo, y cuya producción está orientado al mercado local, regional y nacional</w:t>
            </w:r>
          </w:p>
        </w:tc>
        <w:tc>
          <w:tcPr>
            <w:tcW w:w="1740" w:type="dxa"/>
            <w:tcBorders>
              <w:top w:val="nil"/>
              <w:left w:val="nil"/>
              <w:bottom w:val="single" w:sz="4" w:space="0" w:color="auto"/>
              <w:right w:val="single" w:sz="4" w:space="0" w:color="auto"/>
            </w:tcBorders>
            <w:shd w:val="clear" w:color="000000" w:fill="FFFFFF"/>
            <w:vAlign w:val="center"/>
            <w:hideMark/>
          </w:tcPr>
          <w:p w14:paraId="310DF22C" w14:textId="77777777" w:rsidR="001E34B7" w:rsidRDefault="001E34B7">
            <w:pPr>
              <w:rPr>
                <w:rFonts w:ascii="Arial" w:hAnsi="Arial" w:cs="Arial"/>
                <w:color w:val="002060"/>
                <w:sz w:val="16"/>
                <w:szCs w:val="16"/>
              </w:rPr>
            </w:pPr>
            <w:r>
              <w:rPr>
                <w:rFonts w:ascii="Arial" w:eastAsia="Arial" w:hAnsi="Arial" w:cs="Arial"/>
                <w:color w:val="002060"/>
                <w:sz w:val="16"/>
                <w:szCs w:val="16"/>
              </w:rPr>
              <w:t>Bosques de producción permanente y predios privados</w:t>
            </w:r>
          </w:p>
        </w:tc>
      </w:tr>
      <w:tr w:rsidR="001E34B7" w14:paraId="2153C6D0" w14:textId="77777777" w:rsidTr="00097513">
        <w:trPr>
          <w:trHeight w:val="1266"/>
        </w:trPr>
        <w:tc>
          <w:tcPr>
            <w:tcW w:w="1580" w:type="dxa"/>
            <w:tcBorders>
              <w:top w:val="nil"/>
              <w:left w:val="single" w:sz="4" w:space="0" w:color="auto"/>
              <w:bottom w:val="single" w:sz="4" w:space="0" w:color="auto"/>
              <w:right w:val="single" w:sz="4" w:space="0" w:color="auto"/>
            </w:tcBorders>
            <w:shd w:val="clear" w:color="000000" w:fill="FFFFFF"/>
            <w:vAlign w:val="center"/>
            <w:hideMark/>
          </w:tcPr>
          <w:p w14:paraId="2DE52A43" w14:textId="77777777" w:rsidR="001E34B7" w:rsidRDefault="001E34B7">
            <w:pPr>
              <w:jc w:val="both"/>
              <w:rPr>
                <w:rFonts w:ascii="Arial" w:hAnsi="Arial" w:cs="Arial"/>
                <w:color w:val="002060"/>
                <w:sz w:val="16"/>
                <w:szCs w:val="16"/>
              </w:rPr>
            </w:pPr>
            <w:r>
              <w:rPr>
                <w:rFonts w:ascii="Arial" w:eastAsia="Arial" w:hAnsi="Arial" w:cs="Arial"/>
                <w:color w:val="002060"/>
                <w:sz w:val="16"/>
                <w:szCs w:val="16"/>
              </w:rPr>
              <w:lastRenderedPageBreak/>
              <w:t>Cultivo ilegal de Coca</w:t>
            </w:r>
          </w:p>
        </w:tc>
        <w:tc>
          <w:tcPr>
            <w:tcW w:w="2620" w:type="dxa"/>
            <w:tcBorders>
              <w:top w:val="nil"/>
              <w:left w:val="nil"/>
              <w:bottom w:val="single" w:sz="4" w:space="0" w:color="auto"/>
              <w:right w:val="single" w:sz="4" w:space="0" w:color="auto"/>
            </w:tcBorders>
            <w:shd w:val="clear" w:color="000000" w:fill="FFFFFF"/>
            <w:vAlign w:val="center"/>
            <w:hideMark/>
          </w:tcPr>
          <w:p w14:paraId="4B9318FE" w14:textId="77777777" w:rsidR="001E34B7" w:rsidRDefault="001E34B7">
            <w:pPr>
              <w:rPr>
                <w:rFonts w:ascii="Arial" w:hAnsi="Arial" w:cs="Arial"/>
                <w:color w:val="002060"/>
                <w:sz w:val="16"/>
                <w:szCs w:val="16"/>
              </w:rPr>
            </w:pPr>
            <w:r>
              <w:rPr>
                <w:rFonts w:ascii="Arial" w:eastAsia="Arial" w:hAnsi="Arial" w:cs="Arial"/>
                <w:color w:val="002060"/>
                <w:sz w:val="16"/>
                <w:szCs w:val="16"/>
              </w:rPr>
              <w:t>El departamento de Huánuco concentra la mayor cantidad de áreas instaladas con el cultivo de coca en el país, concentrándose en los distritos de El Monzón, Aucayacu, Pucayacu, José Crespo y Castillo y Santo Domingo de Anda.</w:t>
            </w:r>
          </w:p>
        </w:tc>
        <w:tc>
          <w:tcPr>
            <w:tcW w:w="2900" w:type="dxa"/>
            <w:tcBorders>
              <w:top w:val="nil"/>
              <w:left w:val="nil"/>
              <w:bottom w:val="single" w:sz="4" w:space="0" w:color="auto"/>
              <w:right w:val="single" w:sz="4" w:space="0" w:color="auto"/>
            </w:tcBorders>
            <w:shd w:val="clear" w:color="000000" w:fill="FFFFFF"/>
            <w:vAlign w:val="center"/>
            <w:hideMark/>
          </w:tcPr>
          <w:p w14:paraId="65329B24" w14:textId="77777777" w:rsidR="001E34B7" w:rsidRDefault="001E34B7">
            <w:pPr>
              <w:rPr>
                <w:rFonts w:ascii="Arial" w:hAnsi="Arial" w:cs="Arial"/>
                <w:color w:val="002060"/>
                <w:sz w:val="16"/>
                <w:szCs w:val="16"/>
              </w:rPr>
            </w:pPr>
            <w:r>
              <w:rPr>
                <w:rFonts w:ascii="Arial" w:eastAsia="Arial" w:hAnsi="Arial" w:cs="Arial"/>
                <w:color w:val="002060"/>
                <w:sz w:val="16"/>
                <w:szCs w:val="16"/>
              </w:rPr>
              <w:t>Los actores relacionados al cultivo de la coca son pequeños agricultores, cuya producción está orientado al mercado ilegal y en una pequeña proporción a ENACO. Para la instalación del cultivo se utiliza la técnica tradicional del roso, tumba y quema.</w:t>
            </w:r>
          </w:p>
        </w:tc>
        <w:tc>
          <w:tcPr>
            <w:tcW w:w="1740" w:type="dxa"/>
            <w:tcBorders>
              <w:top w:val="nil"/>
              <w:left w:val="nil"/>
              <w:bottom w:val="single" w:sz="4" w:space="0" w:color="auto"/>
              <w:right w:val="single" w:sz="4" w:space="0" w:color="auto"/>
            </w:tcBorders>
            <w:shd w:val="clear" w:color="000000" w:fill="FFFFFF"/>
            <w:vAlign w:val="center"/>
            <w:hideMark/>
          </w:tcPr>
          <w:p w14:paraId="6176B03C" w14:textId="77777777" w:rsidR="001E34B7" w:rsidRDefault="001E34B7">
            <w:pPr>
              <w:rPr>
                <w:rFonts w:ascii="Arial" w:hAnsi="Arial" w:cs="Arial"/>
                <w:color w:val="002060"/>
                <w:sz w:val="16"/>
                <w:szCs w:val="16"/>
              </w:rPr>
            </w:pPr>
            <w:r>
              <w:rPr>
                <w:rFonts w:ascii="Arial" w:eastAsia="Arial" w:hAnsi="Arial" w:cs="Arial"/>
                <w:color w:val="002060"/>
                <w:sz w:val="16"/>
                <w:szCs w:val="16"/>
              </w:rPr>
              <w:t>Bosques de producción permanente, bosques de libre disponibilidad del estado, concesiones forestales</w:t>
            </w:r>
          </w:p>
        </w:tc>
      </w:tr>
    </w:tbl>
    <w:p w14:paraId="25FEEB50" w14:textId="77777777" w:rsidR="00B50826" w:rsidRDefault="00B50826">
      <w:pPr>
        <w:rPr>
          <w:rFonts w:ascii="Arial" w:eastAsia="Arial" w:hAnsi="Arial" w:cs="Arial"/>
          <w:b/>
          <w:color w:val="002060"/>
        </w:rPr>
      </w:pPr>
    </w:p>
    <w:p w14:paraId="3F96160F" w14:textId="77777777" w:rsidR="00B50826" w:rsidRDefault="00B50826">
      <w:pPr>
        <w:jc w:val="both"/>
        <w:rPr>
          <w:rFonts w:ascii="Arial" w:eastAsia="Arial" w:hAnsi="Arial" w:cs="Arial"/>
          <w:color w:val="002060"/>
          <w:sz w:val="20"/>
          <w:szCs w:val="20"/>
        </w:rPr>
      </w:pPr>
    </w:p>
    <w:p w14:paraId="7BD9078D" w14:textId="77777777" w:rsidR="001E34B7" w:rsidRDefault="001E34B7">
      <w:pPr>
        <w:jc w:val="both"/>
        <w:rPr>
          <w:rFonts w:ascii="Arial" w:eastAsia="Arial" w:hAnsi="Arial" w:cs="Arial"/>
          <w:color w:val="002060"/>
          <w:sz w:val="20"/>
          <w:szCs w:val="20"/>
        </w:rPr>
      </w:pPr>
    </w:p>
    <w:p w14:paraId="50039EB6" w14:textId="77777777" w:rsidR="00B50826" w:rsidRDefault="00B50826">
      <w:pPr>
        <w:rPr>
          <w:rFonts w:ascii="Arial" w:eastAsia="Arial" w:hAnsi="Arial" w:cs="Arial"/>
          <w:b/>
          <w:color w:val="002060"/>
        </w:rPr>
      </w:pPr>
    </w:p>
    <w:p w14:paraId="35EC9AF0" w14:textId="77777777" w:rsidR="00B50826" w:rsidRDefault="00006AE2">
      <w:pPr>
        <w:rPr>
          <w:rFonts w:ascii="Arial" w:eastAsia="Arial" w:hAnsi="Arial" w:cs="Arial"/>
          <w:b/>
          <w:color w:val="002060"/>
        </w:rPr>
      </w:pPr>
      <w:r>
        <w:rPr>
          <w:rFonts w:ascii="Arial" w:eastAsia="Arial" w:hAnsi="Arial" w:cs="Arial"/>
          <w:b/>
          <w:color w:val="002060"/>
        </w:rPr>
        <w:t>ANEXO …</w:t>
      </w:r>
    </w:p>
    <w:p w14:paraId="5100B577" w14:textId="77777777" w:rsidR="00B50826" w:rsidRDefault="00B50826">
      <w:pPr>
        <w:rPr>
          <w:rFonts w:ascii="Arial" w:eastAsia="Arial" w:hAnsi="Arial" w:cs="Arial"/>
          <w:b/>
          <w:color w:val="002060"/>
        </w:rPr>
      </w:pPr>
    </w:p>
    <w:p w14:paraId="233E6CA0" w14:textId="77777777" w:rsidR="00B50826" w:rsidRDefault="00006AE2">
      <w:pPr>
        <w:rPr>
          <w:rFonts w:ascii="Arial" w:eastAsia="Arial" w:hAnsi="Arial" w:cs="Arial"/>
          <w:b/>
          <w:color w:val="002060"/>
        </w:rPr>
      </w:pPr>
      <w:r>
        <w:rPr>
          <w:rFonts w:ascii="Arial" w:eastAsia="Arial" w:hAnsi="Arial" w:cs="Arial"/>
          <w:b/>
          <w:color w:val="002060"/>
        </w:rPr>
        <w:t>Matriz de alineamiento de las Políticas Públicas con la Estrategia Regional de Desarrollo Rural Bajo en Emisiones.</w:t>
      </w:r>
    </w:p>
    <w:p w14:paraId="2CD9FA29" w14:textId="77777777" w:rsidR="00B50826" w:rsidRDefault="00B50826">
      <w:pPr>
        <w:rPr>
          <w:rFonts w:ascii="Arial" w:eastAsia="Arial" w:hAnsi="Arial" w:cs="Arial"/>
          <w:b/>
          <w:color w:val="002060"/>
        </w:rPr>
      </w:pPr>
    </w:p>
    <w:tbl>
      <w:tblPr>
        <w:tblStyle w:val="aff4"/>
        <w:tblW w:w="9351" w:type="dxa"/>
        <w:tblInd w:w="0" w:type="dxa"/>
        <w:tblLook w:val="0400" w:firstRow="0" w:lastRow="0" w:firstColumn="0" w:lastColumn="0" w:noHBand="0" w:noVBand="1"/>
      </w:tblPr>
      <w:tblGrid>
        <w:gridCol w:w="320"/>
        <w:gridCol w:w="1483"/>
        <w:gridCol w:w="1403"/>
        <w:gridCol w:w="1368"/>
        <w:gridCol w:w="1367"/>
        <w:gridCol w:w="1607"/>
        <w:gridCol w:w="1376"/>
        <w:gridCol w:w="1368"/>
      </w:tblGrid>
      <w:tr w:rsidR="00B50826" w14:paraId="3B7C9CD8" w14:textId="77777777" w:rsidTr="00097513">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1F4E78"/>
            <w:vAlign w:val="center"/>
          </w:tcPr>
          <w:p w14:paraId="415ECE09"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N°</w:t>
            </w:r>
          </w:p>
        </w:tc>
        <w:tc>
          <w:tcPr>
            <w:tcW w:w="0" w:type="auto"/>
            <w:tcBorders>
              <w:top w:val="single" w:sz="4" w:space="0" w:color="000000"/>
              <w:left w:val="nil"/>
              <w:bottom w:val="single" w:sz="4" w:space="0" w:color="000000"/>
              <w:right w:val="single" w:sz="4" w:space="0" w:color="000000"/>
            </w:tcBorders>
            <w:shd w:val="clear" w:color="auto" w:fill="1F4E78"/>
            <w:vAlign w:val="center"/>
          </w:tcPr>
          <w:p w14:paraId="6D13129F"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POLÍTICAS DE ESTADO</w:t>
            </w:r>
            <w:r>
              <w:rPr>
                <w:rFonts w:ascii="Arial" w:eastAsia="Arial" w:hAnsi="Arial" w:cs="Arial"/>
                <w:b/>
                <w:color w:val="FFFFFF"/>
                <w:sz w:val="16"/>
                <w:szCs w:val="16"/>
              </w:rPr>
              <w:br/>
              <w:t>(ACUERDO NACIONAL 2002)</w:t>
            </w:r>
          </w:p>
        </w:tc>
        <w:tc>
          <w:tcPr>
            <w:tcW w:w="0" w:type="auto"/>
            <w:tcBorders>
              <w:top w:val="single" w:sz="4" w:space="0" w:color="000000"/>
              <w:left w:val="nil"/>
              <w:bottom w:val="single" w:sz="4" w:space="0" w:color="000000"/>
              <w:right w:val="single" w:sz="4" w:space="0" w:color="000000"/>
            </w:tcBorders>
            <w:shd w:val="clear" w:color="auto" w:fill="1F4E78"/>
            <w:vAlign w:val="center"/>
          </w:tcPr>
          <w:p w14:paraId="0FBE586C"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LINEAMIENTO POLÍTICA NACIONAL</w:t>
            </w:r>
            <w:r>
              <w:rPr>
                <w:rFonts w:ascii="Arial" w:eastAsia="Arial" w:hAnsi="Arial" w:cs="Arial"/>
                <w:b/>
                <w:color w:val="FFFFFF"/>
                <w:sz w:val="16"/>
                <w:szCs w:val="16"/>
              </w:rPr>
              <w:br/>
              <w:t>D.S. N° 056-2018-PCM</w:t>
            </w:r>
          </w:p>
        </w:tc>
        <w:tc>
          <w:tcPr>
            <w:tcW w:w="0" w:type="auto"/>
            <w:tcBorders>
              <w:top w:val="single" w:sz="4" w:space="0" w:color="000000"/>
              <w:left w:val="nil"/>
              <w:bottom w:val="single" w:sz="4" w:space="0" w:color="000000"/>
              <w:right w:val="single" w:sz="4" w:space="0" w:color="000000"/>
            </w:tcBorders>
            <w:shd w:val="clear" w:color="auto" w:fill="1F4E78"/>
            <w:vAlign w:val="center"/>
          </w:tcPr>
          <w:p w14:paraId="1452E80D"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POLÍTICA SECTORIAL</w:t>
            </w:r>
            <w:r>
              <w:rPr>
                <w:rFonts w:ascii="Arial" w:eastAsia="Arial" w:hAnsi="Arial" w:cs="Arial"/>
                <w:b/>
                <w:color w:val="FFFFFF"/>
                <w:sz w:val="16"/>
                <w:szCs w:val="16"/>
              </w:rPr>
              <w:br/>
              <w:t>(MINISTERIO DE AMBIENTE)</w:t>
            </w:r>
          </w:p>
        </w:tc>
        <w:tc>
          <w:tcPr>
            <w:tcW w:w="0" w:type="auto"/>
            <w:tcBorders>
              <w:top w:val="single" w:sz="4" w:space="0" w:color="000000"/>
              <w:left w:val="nil"/>
              <w:bottom w:val="single" w:sz="4" w:space="0" w:color="000000"/>
              <w:right w:val="single" w:sz="4" w:space="0" w:color="000000"/>
            </w:tcBorders>
            <w:shd w:val="clear" w:color="auto" w:fill="1F4E78"/>
            <w:vAlign w:val="center"/>
          </w:tcPr>
          <w:p w14:paraId="4B9CF2C5"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POLÍTICA SECTORIAL</w:t>
            </w:r>
            <w:r>
              <w:rPr>
                <w:rFonts w:ascii="Arial" w:eastAsia="Arial" w:hAnsi="Arial" w:cs="Arial"/>
                <w:b/>
                <w:color w:val="FFFFFF"/>
                <w:sz w:val="16"/>
                <w:szCs w:val="16"/>
              </w:rPr>
              <w:br/>
              <w:t>(MINISTERIO DE AGRICULTURA)</w:t>
            </w:r>
          </w:p>
        </w:tc>
        <w:tc>
          <w:tcPr>
            <w:tcW w:w="0" w:type="auto"/>
            <w:tcBorders>
              <w:top w:val="single" w:sz="4" w:space="0" w:color="000000"/>
              <w:left w:val="nil"/>
              <w:bottom w:val="single" w:sz="4" w:space="0" w:color="000000"/>
              <w:right w:val="single" w:sz="4" w:space="0" w:color="000000"/>
            </w:tcBorders>
            <w:shd w:val="clear" w:color="auto" w:fill="1F4E78"/>
            <w:vAlign w:val="center"/>
          </w:tcPr>
          <w:p w14:paraId="5F1A444F"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POLÍTICA DE GOBERNABILIDAD REGIONAL</w:t>
            </w:r>
            <w:r>
              <w:rPr>
                <w:rFonts w:ascii="Arial" w:eastAsia="Arial" w:hAnsi="Arial" w:cs="Arial"/>
                <w:b/>
                <w:color w:val="FFFFFF"/>
                <w:sz w:val="16"/>
                <w:szCs w:val="16"/>
              </w:rPr>
              <w:br/>
              <w:t>(DEPARTAMENTO DE HUÁNUCO)</w:t>
            </w:r>
          </w:p>
        </w:tc>
        <w:tc>
          <w:tcPr>
            <w:tcW w:w="0" w:type="auto"/>
            <w:tcBorders>
              <w:top w:val="single" w:sz="4" w:space="0" w:color="000000"/>
              <w:left w:val="nil"/>
              <w:bottom w:val="single" w:sz="4" w:space="0" w:color="000000"/>
              <w:right w:val="single" w:sz="4" w:space="0" w:color="000000"/>
            </w:tcBorders>
            <w:shd w:val="clear" w:color="auto" w:fill="1F4E78"/>
            <w:vAlign w:val="center"/>
          </w:tcPr>
          <w:p w14:paraId="0DBB7540"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POLÍTICA INSTITUCIONAL</w:t>
            </w:r>
            <w:r>
              <w:rPr>
                <w:rFonts w:ascii="Arial" w:eastAsia="Arial" w:hAnsi="Arial" w:cs="Arial"/>
                <w:b/>
                <w:color w:val="FFFFFF"/>
                <w:sz w:val="16"/>
                <w:szCs w:val="16"/>
              </w:rPr>
              <w:br/>
              <w:t>(GOBIERNO REGIONAL HUÁNUCO)</w:t>
            </w:r>
          </w:p>
        </w:tc>
        <w:tc>
          <w:tcPr>
            <w:tcW w:w="1695" w:type="dxa"/>
            <w:tcBorders>
              <w:top w:val="single" w:sz="4" w:space="0" w:color="000000"/>
              <w:left w:val="nil"/>
              <w:bottom w:val="single" w:sz="4" w:space="0" w:color="000000"/>
              <w:right w:val="single" w:sz="4" w:space="0" w:color="000000"/>
            </w:tcBorders>
            <w:shd w:val="clear" w:color="auto" w:fill="1F4E78"/>
            <w:vAlign w:val="center"/>
          </w:tcPr>
          <w:p w14:paraId="6B8DD6F6" w14:textId="77777777" w:rsidR="00B50826" w:rsidRDefault="00006AE2">
            <w:pPr>
              <w:jc w:val="center"/>
              <w:rPr>
                <w:rFonts w:ascii="Arial" w:eastAsia="Arial" w:hAnsi="Arial" w:cs="Arial"/>
                <w:b/>
                <w:color w:val="FFFFFF"/>
                <w:sz w:val="16"/>
                <w:szCs w:val="16"/>
              </w:rPr>
            </w:pPr>
            <w:r>
              <w:rPr>
                <w:rFonts w:ascii="Arial" w:eastAsia="Arial" w:hAnsi="Arial" w:cs="Arial"/>
                <w:b/>
                <w:color w:val="FFFFFF"/>
                <w:sz w:val="16"/>
                <w:szCs w:val="16"/>
              </w:rPr>
              <w:t>POLÍTICA DE LA ERDRBE</w:t>
            </w:r>
          </w:p>
        </w:tc>
      </w:tr>
      <w:tr w:rsidR="00B50826" w14:paraId="76B38F0B" w14:textId="77777777" w:rsidTr="00097513">
        <w:trPr>
          <w:trHeight w:val="2370"/>
        </w:trPr>
        <w:tc>
          <w:tcPr>
            <w:tcW w:w="0" w:type="auto"/>
            <w:tcBorders>
              <w:top w:val="nil"/>
              <w:left w:val="single" w:sz="4" w:space="0" w:color="000000"/>
              <w:bottom w:val="single" w:sz="4" w:space="0" w:color="000000"/>
              <w:right w:val="single" w:sz="4" w:space="0" w:color="000000"/>
            </w:tcBorders>
            <w:shd w:val="clear" w:color="auto" w:fill="auto"/>
            <w:vAlign w:val="center"/>
          </w:tcPr>
          <w:p w14:paraId="3699DF83"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4</w:t>
            </w:r>
          </w:p>
        </w:tc>
        <w:tc>
          <w:tcPr>
            <w:tcW w:w="0" w:type="auto"/>
            <w:tcBorders>
              <w:top w:val="nil"/>
              <w:left w:val="nil"/>
              <w:bottom w:val="single" w:sz="4" w:space="0" w:color="000000"/>
              <w:right w:val="single" w:sz="4" w:space="0" w:color="000000"/>
            </w:tcBorders>
            <w:shd w:val="clear" w:color="auto" w:fill="00B0F0"/>
            <w:vAlign w:val="center"/>
          </w:tcPr>
          <w:p w14:paraId="482084A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Institucionalización del diálogo y la concertación</w:t>
            </w:r>
          </w:p>
        </w:tc>
        <w:tc>
          <w:tcPr>
            <w:tcW w:w="0" w:type="auto"/>
            <w:tcBorders>
              <w:top w:val="nil"/>
              <w:left w:val="nil"/>
              <w:bottom w:val="single" w:sz="4" w:space="0" w:color="000000"/>
              <w:right w:val="single" w:sz="4" w:space="0" w:color="000000"/>
            </w:tcBorders>
            <w:shd w:val="clear" w:color="auto" w:fill="auto"/>
            <w:vAlign w:val="center"/>
          </w:tcPr>
          <w:p w14:paraId="228DA8E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Fortalecimiento institucional para la gobernabilidad.</w:t>
            </w:r>
          </w:p>
        </w:tc>
        <w:tc>
          <w:tcPr>
            <w:tcW w:w="0" w:type="auto"/>
            <w:tcBorders>
              <w:top w:val="nil"/>
              <w:left w:val="nil"/>
              <w:bottom w:val="single" w:sz="4" w:space="0" w:color="000000"/>
              <w:right w:val="single" w:sz="4" w:space="0" w:color="000000"/>
            </w:tcBorders>
            <w:shd w:val="clear" w:color="auto" w:fill="auto"/>
            <w:vAlign w:val="center"/>
          </w:tcPr>
          <w:p w14:paraId="2F955C2B"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0FFDA495"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12. Desarrollo Institucional</w:t>
            </w:r>
          </w:p>
        </w:tc>
        <w:tc>
          <w:tcPr>
            <w:tcW w:w="0" w:type="auto"/>
            <w:tcBorders>
              <w:top w:val="nil"/>
              <w:left w:val="nil"/>
              <w:bottom w:val="single" w:sz="4" w:space="0" w:color="000000"/>
              <w:right w:val="single" w:sz="4" w:space="0" w:color="000000"/>
            </w:tcBorders>
            <w:shd w:val="clear" w:color="auto" w:fill="auto"/>
            <w:vAlign w:val="center"/>
          </w:tcPr>
          <w:p w14:paraId="109F9C2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PR18.- Institucionalizar y legitimar los canales y mecanismos de participación ciudadana y concertación que contribuyan al mejor ejercicio de las funciones ejecutivas y legislativas en el nivel regional.</w:t>
            </w:r>
          </w:p>
        </w:tc>
        <w:tc>
          <w:tcPr>
            <w:tcW w:w="0" w:type="auto"/>
            <w:tcBorders>
              <w:top w:val="nil"/>
              <w:left w:val="nil"/>
              <w:bottom w:val="single" w:sz="4" w:space="0" w:color="000000"/>
              <w:right w:val="single" w:sz="4" w:space="0" w:color="000000"/>
            </w:tcBorders>
            <w:shd w:val="clear" w:color="auto" w:fill="auto"/>
            <w:vAlign w:val="center"/>
          </w:tcPr>
          <w:p w14:paraId="56357A13"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Institucionalizar la modernización de la gestión pública, con acciones oportunas de fiscalización, anticorrupción y de mejora 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5C990DCE" w14:textId="77777777" w:rsidR="00B50826" w:rsidRDefault="00097513">
            <w:pPr>
              <w:jc w:val="both"/>
              <w:rPr>
                <w:rFonts w:ascii="Arial" w:eastAsia="Arial" w:hAnsi="Arial" w:cs="Arial"/>
                <w:color w:val="000000"/>
                <w:sz w:val="16"/>
                <w:szCs w:val="16"/>
              </w:rPr>
            </w:pPr>
            <w:r>
              <w:rPr>
                <w:rFonts w:ascii="Arial" w:eastAsia="Arial" w:hAnsi="Arial" w:cs="Arial"/>
                <w:color w:val="000000"/>
                <w:sz w:val="16"/>
                <w:szCs w:val="16"/>
              </w:rPr>
              <w:t>1</w:t>
            </w:r>
            <w:r w:rsidR="00006AE2">
              <w:rPr>
                <w:rFonts w:ascii="Arial" w:eastAsia="Arial" w:hAnsi="Arial" w:cs="Arial"/>
                <w:color w:val="000000"/>
                <w:sz w:val="16"/>
                <w:szCs w:val="16"/>
              </w:rPr>
              <w:t>. Promover la gobernanza, integración y modernización de la gestión pública, a fin de otorgar mayor cobertura en el bienestar de la población</w:t>
            </w:r>
          </w:p>
        </w:tc>
      </w:tr>
      <w:tr w:rsidR="00B50826" w14:paraId="158EDEAA" w14:textId="77777777" w:rsidTr="00097513">
        <w:trPr>
          <w:trHeight w:val="208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618398D2"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5</w:t>
            </w:r>
          </w:p>
        </w:tc>
        <w:tc>
          <w:tcPr>
            <w:tcW w:w="0" w:type="auto"/>
            <w:vMerge w:val="restart"/>
            <w:tcBorders>
              <w:top w:val="nil"/>
              <w:left w:val="single" w:sz="4" w:space="0" w:color="000000"/>
              <w:bottom w:val="single" w:sz="4" w:space="0" w:color="000000"/>
              <w:right w:val="single" w:sz="4" w:space="0" w:color="000000"/>
            </w:tcBorders>
            <w:shd w:val="clear" w:color="auto" w:fill="00B0F0"/>
            <w:vAlign w:val="center"/>
          </w:tcPr>
          <w:p w14:paraId="108AAC0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Gobierno en función de objetivos con planeamiento estratégico, prospectiva nacional y procedimientos transparentes</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32F52B3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Fortalecimiento institucional para la gobernabilidad.</w:t>
            </w:r>
          </w:p>
        </w:tc>
        <w:tc>
          <w:tcPr>
            <w:tcW w:w="0" w:type="auto"/>
            <w:vMerge w:val="restart"/>
            <w:tcBorders>
              <w:top w:val="nil"/>
              <w:left w:val="single" w:sz="4" w:space="0" w:color="000000"/>
              <w:bottom w:val="single" w:sz="4" w:space="0" w:color="000000"/>
              <w:right w:val="single" w:sz="4" w:space="0" w:color="000000"/>
            </w:tcBorders>
            <w:shd w:val="clear" w:color="auto" w:fill="92D050"/>
            <w:vAlign w:val="center"/>
          </w:tcPr>
          <w:p w14:paraId="0287545E"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Gobernanza ambiental</w:t>
            </w:r>
          </w:p>
        </w:tc>
        <w:tc>
          <w:tcPr>
            <w:tcW w:w="0" w:type="auto"/>
            <w:tcBorders>
              <w:top w:val="nil"/>
              <w:left w:val="nil"/>
              <w:bottom w:val="single" w:sz="4" w:space="0" w:color="000000"/>
              <w:right w:val="single" w:sz="4" w:space="0" w:color="000000"/>
            </w:tcBorders>
            <w:shd w:val="clear" w:color="auto" w:fill="CCFF33"/>
            <w:vAlign w:val="center"/>
          </w:tcPr>
          <w:p w14:paraId="1CBC51E6"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8. Desarrollo de capacidades.</w:t>
            </w:r>
          </w:p>
        </w:tc>
        <w:tc>
          <w:tcPr>
            <w:tcW w:w="0" w:type="auto"/>
            <w:tcBorders>
              <w:top w:val="nil"/>
              <w:left w:val="nil"/>
              <w:bottom w:val="single" w:sz="4" w:space="0" w:color="000000"/>
              <w:right w:val="single" w:sz="4" w:space="0" w:color="000000"/>
            </w:tcBorders>
            <w:shd w:val="clear" w:color="auto" w:fill="auto"/>
            <w:vAlign w:val="center"/>
          </w:tcPr>
          <w:p w14:paraId="7F9E9D6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PR18.- Institucionalizar y legitimar los canales y mecanismos de participación ciudadana y concertación que contribuyan al mejor ejercicio de las funciones ejecutivas y legislativas en el nivel regional.</w:t>
            </w:r>
          </w:p>
        </w:tc>
        <w:tc>
          <w:tcPr>
            <w:tcW w:w="0" w:type="auto"/>
            <w:tcBorders>
              <w:top w:val="nil"/>
              <w:left w:val="nil"/>
              <w:bottom w:val="single" w:sz="4" w:space="0" w:color="000000"/>
              <w:right w:val="single" w:sz="4" w:space="0" w:color="000000"/>
            </w:tcBorders>
            <w:shd w:val="clear" w:color="auto" w:fill="auto"/>
            <w:vAlign w:val="center"/>
          </w:tcPr>
          <w:p w14:paraId="030A4A4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Institucionalizar la modernización de la gestión pública, con acciones oportunas de fiscalización, anticorrupción y de mejora 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3CD013A8" w14:textId="77777777" w:rsidR="00B50826" w:rsidRDefault="00097513">
            <w:pPr>
              <w:jc w:val="both"/>
              <w:rPr>
                <w:rFonts w:ascii="Arial" w:eastAsia="Arial" w:hAnsi="Arial" w:cs="Arial"/>
                <w:color w:val="000000"/>
                <w:sz w:val="16"/>
                <w:szCs w:val="16"/>
              </w:rPr>
            </w:pPr>
            <w:r>
              <w:rPr>
                <w:rFonts w:ascii="Arial" w:eastAsia="Arial" w:hAnsi="Arial" w:cs="Arial"/>
                <w:color w:val="000000"/>
                <w:sz w:val="16"/>
                <w:szCs w:val="16"/>
              </w:rPr>
              <w:t>1</w:t>
            </w:r>
            <w:r w:rsidR="00006AE2">
              <w:rPr>
                <w:rFonts w:ascii="Arial" w:eastAsia="Arial" w:hAnsi="Arial" w:cs="Arial"/>
                <w:color w:val="000000"/>
                <w:sz w:val="16"/>
                <w:szCs w:val="16"/>
              </w:rPr>
              <w:t>. Promover la gobernanza, integración y modernización de la gestión pública, a fin de otorgar mayor cobertura en el bienestar de la población</w:t>
            </w:r>
          </w:p>
        </w:tc>
      </w:tr>
      <w:tr w:rsidR="00B50826" w14:paraId="5F874E92" w14:textId="77777777" w:rsidTr="00097513">
        <w:trPr>
          <w:trHeight w:val="274"/>
        </w:trPr>
        <w:tc>
          <w:tcPr>
            <w:tcW w:w="0" w:type="auto"/>
            <w:vMerge/>
            <w:tcBorders>
              <w:top w:val="nil"/>
              <w:left w:val="single" w:sz="4" w:space="0" w:color="000000"/>
              <w:bottom w:val="single" w:sz="4" w:space="0" w:color="000000"/>
              <w:right w:val="single" w:sz="4" w:space="0" w:color="000000"/>
            </w:tcBorders>
          </w:tcPr>
          <w:p w14:paraId="2500E6F1"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2EA87475"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0F887C3B"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0212A11B" w14:textId="77777777" w:rsidR="00B50826" w:rsidRDefault="00B50826"/>
        </w:tc>
        <w:tc>
          <w:tcPr>
            <w:tcW w:w="0" w:type="auto"/>
            <w:tcBorders>
              <w:top w:val="nil"/>
              <w:left w:val="nil"/>
              <w:bottom w:val="single" w:sz="4" w:space="0" w:color="000000"/>
              <w:right w:val="single" w:sz="4" w:space="0" w:color="000000"/>
            </w:tcBorders>
            <w:shd w:val="clear" w:color="auto" w:fill="CCFF33"/>
            <w:vAlign w:val="center"/>
          </w:tcPr>
          <w:p w14:paraId="1FBB28BB"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12. Desarrollo Institucional</w:t>
            </w:r>
          </w:p>
        </w:tc>
        <w:tc>
          <w:tcPr>
            <w:tcW w:w="0" w:type="auto"/>
            <w:tcBorders>
              <w:top w:val="nil"/>
              <w:left w:val="nil"/>
              <w:bottom w:val="single" w:sz="4" w:space="0" w:color="000000"/>
              <w:right w:val="single" w:sz="4" w:space="0" w:color="000000"/>
            </w:tcBorders>
            <w:shd w:val="clear" w:color="auto" w:fill="auto"/>
            <w:vAlign w:val="center"/>
          </w:tcPr>
          <w:p w14:paraId="6A164FF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PR18.- Institucionalizar y legitimar los canales y mecanismos de participación ciudadana y concertación que contribuyan al mejor ejercicio de las funciones ejecutivas </w:t>
            </w:r>
            <w:r>
              <w:rPr>
                <w:rFonts w:ascii="Arial" w:eastAsia="Arial" w:hAnsi="Arial" w:cs="Arial"/>
                <w:color w:val="000000"/>
                <w:sz w:val="16"/>
                <w:szCs w:val="16"/>
              </w:rPr>
              <w:lastRenderedPageBreak/>
              <w:t>y legislativas en el nivel regional.</w:t>
            </w:r>
          </w:p>
        </w:tc>
        <w:tc>
          <w:tcPr>
            <w:tcW w:w="0" w:type="auto"/>
            <w:tcBorders>
              <w:top w:val="nil"/>
              <w:left w:val="nil"/>
              <w:bottom w:val="single" w:sz="4" w:space="0" w:color="000000"/>
              <w:right w:val="single" w:sz="4" w:space="0" w:color="000000"/>
            </w:tcBorders>
            <w:shd w:val="clear" w:color="auto" w:fill="auto"/>
            <w:vAlign w:val="center"/>
          </w:tcPr>
          <w:p w14:paraId="7505E8B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2. Institucionalizar la modernización de la gestión pública, con acciones oportunas de fiscalización, anticorrupción y de mejora continua </w:t>
            </w:r>
            <w:r>
              <w:rPr>
                <w:rFonts w:ascii="Arial" w:eastAsia="Arial" w:hAnsi="Arial" w:cs="Arial"/>
                <w:color w:val="000000"/>
                <w:sz w:val="16"/>
                <w:szCs w:val="16"/>
              </w:rPr>
              <w:lastRenderedPageBreak/>
              <w:t>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7EBE2466" w14:textId="77777777" w:rsidR="00B50826" w:rsidRDefault="00097513">
            <w:pPr>
              <w:jc w:val="both"/>
              <w:rPr>
                <w:rFonts w:ascii="Arial" w:eastAsia="Arial" w:hAnsi="Arial" w:cs="Arial"/>
                <w:color w:val="000000"/>
                <w:sz w:val="16"/>
                <w:szCs w:val="16"/>
              </w:rPr>
            </w:pPr>
            <w:r>
              <w:rPr>
                <w:rFonts w:ascii="Arial" w:eastAsia="Arial" w:hAnsi="Arial" w:cs="Arial"/>
                <w:color w:val="000000"/>
                <w:sz w:val="16"/>
                <w:szCs w:val="16"/>
              </w:rPr>
              <w:lastRenderedPageBreak/>
              <w:t>1</w:t>
            </w:r>
            <w:r w:rsidR="00006AE2">
              <w:rPr>
                <w:rFonts w:ascii="Arial" w:eastAsia="Arial" w:hAnsi="Arial" w:cs="Arial"/>
                <w:color w:val="000000"/>
                <w:sz w:val="16"/>
                <w:szCs w:val="16"/>
              </w:rPr>
              <w:t>. Promover la gobernanza, integración y modernización de la gestión pública, a fin de otorgar mayor cobertura en el bienestar de la población</w:t>
            </w:r>
          </w:p>
        </w:tc>
      </w:tr>
      <w:tr w:rsidR="00B50826" w14:paraId="6D93209C" w14:textId="77777777" w:rsidTr="00097513">
        <w:trPr>
          <w:trHeight w:val="2265"/>
        </w:trPr>
        <w:tc>
          <w:tcPr>
            <w:tcW w:w="0" w:type="auto"/>
            <w:tcBorders>
              <w:top w:val="nil"/>
              <w:left w:val="single" w:sz="4" w:space="0" w:color="000000"/>
              <w:bottom w:val="single" w:sz="4" w:space="0" w:color="000000"/>
              <w:right w:val="single" w:sz="4" w:space="0" w:color="000000"/>
            </w:tcBorders>
            <w:shd w:val="clear" w:color="auto" w:fill="auto"/>
            <w:vAlign w:val="center"/>
          </w:tcPr>
          <w:p w14:paraId="64DE1812"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8</w:t>
            </w:r>
          </w:p>
        </w:tc>
        <w:tc>
          <w:tcPr>
            <w:tcW w:w="0" w:type="auto"/>
            <w:tcBorders>
              <w:top w:val="nil"/>
              <w:left w:val="nil"/>
              <w:bottom w:val="single" w:sz="4" w:space="0" w:color="000000"/>
              <w:right w:val="single" w:sz="4" w:space="0" w:color="000000"/>
            </w:tcBorders>
            <w:shd w:val="clear" w:color="auto" w:fill="00B0F0"/>
            <w:vAlign w:val="center"/>
          </w:tcPr>
          <w:p w14:paraId="374E4CF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Descentralización política, económica y administrativa para propiciar el desarrollo integral, armónico y sostenido del Perú.</w:t>
            </w:r>
          </w:p>
        </w:tc>
        <w:tc>
          <w:tcPr>
            <w:tcW w:w="0" w:type="auto"/>
            <w:tcBorders>
              <w:top w:val="nil"/>
              <w:left w:val="nil"/>
              <w:bottom w:val="single" w:sz="4" w:space="0" w:color="000000"/>
              <w:right w:val="single" w:sz="4" w:space="0" w:color="000000"/>
            </w:tcBorders>
            <w:shd w:val="clear" w:color="auto" w:fill="auto"/>
            <w:vAlign w:val="center"/>
          </w:tcPr>
          <w:p w14:paraId="51ECA00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5. Descentralización efectiva para el desarrollo</w:t>
            </w:r>
          </w:p>
        </w:tc>
        <w:tc>
          <w:tcPr>
            <w:tcW w:w="0" w:type="auto"/>
            <w:tcBorders>
              <w:top w:val="nil"/>
              <w:left w:val="nil"/>
              <w:bottom w:val="single" w:sz="4" w:space="0" w:color="000000"/>
              <w:right w:val="single" w:sz="4" w:space="0" w:color="000000"/>
            </w:tcBorders>
            <w:shd w:val="clear" w:color="auto" w:fill="92D050"/>
            <w:vAlign w:val="center"/>
          </w:tcPr>
          <w:p w14:paraId="7DC46B7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Gobernanza ambiental</w:t>
            </w:r>
          </w:p>
        </w:tc>
        <w:tc>
          <w:tcPr>
            <w:tcW w:w="0" w:type="auto"/>
            <w:tcBorders>
              <w:top w:val="nil"/>
              <w:left w:val="nil"/>
              <w:bottom w:val="single" w:sz="4" w:space="0" w:color="000000"/>
              <w:right w:val="single" w:sz="4" w:space="0" w:color="000000"/>
            </w:tcBorders>
            <w:shd w:val="clear" w:color="auto" w:fill="CCFF33"/>
            <w:vAlign w:val="center"/>
          </w:tcPr>
          <w:p w14:paraId="735B60CF"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3. Seguridad jurídica sobre la tierra</w:t>
            </w:r>
          </w:p>
        </w:tc>
        <w:tc>
          <w:tcPr>
            <w:tcW w:w="0" w:type="auto"/>
            <w:tcBorders>
              <w:top w:val="nil"/>
              <w:left w:val="nil"/>
              <w:bottom w:val="single" w:sz="4" w:space="0" w:color="000000"/>
              <w:right w:val="single" w:sz="4" w:space="0" w:color="000000"/>
            </w:tcBorders>
            <w:shd w:val="clear" w:color="auto" w:fill="auto"/>
            <w:vAlign w:val="center"/>
          </w:tcPr>
          <w:p w14:paraId="139DE86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PR18.- Institucionalizar y legitimar los canales y mecanismos de participación ciudadana y concertación que contribuyan al mejor ejercicio de las funciones ejecutivas y legislativas en el nivel regional.</w:t>
            </w:r>
          </w:p>
        </w:tc>
        <w:tc>
          <w:tcPr>
            <w:tcW w:w="0" w:type="auto"/>
            <w:tcBorders>
              <w:top w:val="nil"/>
              <w:left w:val="nil"/>
              <w:bottom w:val="single" w:sz="4" w:space="0" w:color="000000"/>
              <w:right w:val="single" w:sz="4" w:space="0" w:color="000000"/>
            </w:tcBorders>
            <w:shd w:val="clear" w:color="auto" w:fill="auto"/>
            <w:vAlign w:val="center"/>
          </w:tcPr>
          <w:p w14:paraId="2BE96CFE"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Institucionalizar la modernización de la gestión pública, con acciones oportunas de fiscalización, anticorrupción y de mejora 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3507213E" w14:textId="77777777" w:rsidR="00B50826" w:rsidRDefault="00097513">
            <w:pPr>
              <w:jc w:val="both"/>
              <w:rPr>
                <w:rFonts w:ascii="Arial" w:eastAsia="Arial" w:hAnsi="Arial" w:cs="Arial"/>
                <w:color w:val="000000"/>
                <w:sz w:val="16"/>
                <w:szCs w:val="16"/>
              </w:rPr>
            </w:pPr>
            <w:r>
              <w:rPr>
                <w:rFonts w:ascii="Arial" w:eastAsia="Arial" w:hAnsi="Arial" w:cs="Arial"/>
                <w:color w:val="000000"/>
                <w:sz w:val="16"/>
                <w:szCs w:val="16"/>
              </w:rPr>
              <w:t>1</w:t>
            </w:r>
            <w:r w:rsidR="00006AE2">
              <w:rPr>
                <w:rFonts w:ascii="Arial" w:eastAsia="Arial" w:hAnsi="Arial" w:cs="Arial"/>
                <w:color w:val="000000"/>
                <w:sz w:val="16"/>
                <w:szCs w:val="16"/>
              </w:rPr>
              <w:t>. Promover la gobernanza, integración y modernización de la gestión pública, a fin de otorgar mayor cobertura en el bienestar de la población</w:t>
            </w:r>
          </w:p>
        </w:tc>
      </w:tr>
      <w:tr w:rsidR="00B50826" w14:paraId="4DEDDA55" w14:textId="77777777" w:rsidTr="00097513">
        <w:trPr>
          <w:trHeight w:val="229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4056FFC0"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24</w:t>
            </w:r>
          </w:p>
        </w:tc>
        <w:tc>
          <w:tcPr>
            <w:tcW w:w="0" w:type="auto"/>
            <w:vMerge w:val="restart"/>
            <w:tcBorders>
              <w:top w:val="nil"/>
              <w:left w:val="single" w:sz="4" w:space="0" w:color="000000"/>
              <w:bottom w:val="single" w:sz="4" w:space="0" w:color="000000"/>
              <w:right w:val="single" w:sz="4" w:space="0" w:color="000000"/>
            </w:tcBorders>
            <w:shd w:val="clear" w:color="auto" w:fill="00B0F0"/>
            <w:vAlign w:val="center"/>
          </w:tcPr>
          <w:p w14:paraId="649E44FC"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Afirmación de un Estado eficiente y transparente</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26C96864"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Fortalecimiento institucional para la gobernabilidad.</w:t>
            </w:r>
          </w:p>
        </w:tc>
        <w:tc>
          <w:tcPr>
            <w:tcW w:w="0" w:type="auto"/>
            <w:tcBorders>
              <w:top w:val="nil"/>
              <w:left w:val="nil"/>
              <w:bottom w:val="single" w:sz="4" w:space="0" w:color="000000"/>
              <w:right w:val="single" w:sz="4" w:space="0" w:color="000000"/>
            </w:tcBorders>
            <w:shd w:val="clear" w:color="auto" w:fill="auto"/>
            <w:vAlign w:val="center"/>
          </w:tcPr>
          <w:p w14:paraId="17B68CF0"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5149870A"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8. Desarrollo de capacidades.</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0CCE58C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PR16.- Desarrollar políticas de </w:t>
            </w:r>
            <w:proofErr w:type="spellStart"/>
            <w:r>
              <w:rPr>
                <w:rFonts w:ascii="Arial" w:eastAsia="Arial" w:hAnsi="Arial" w:cs="Arial"/>
                <w:color w:val="000000"/>
                <w:sz w:val="16"/>
                <w:szCs w:val="16"/>
              </w:rPr>
              <w:t>prevencion</w:t>
            </w:r>
            <w:proofErr w:type="spellEnd"/>
            <w:r>
              <w:rPr>
                <w:rFonts w:ascii="Arial" w:eastAsia="Arial" w:hAnsi="Arial" w:cs="Arial"/>
                <w:color w:val="000000"/>
                <w:sz w:val="16"/>
                <w:szCs w:val="16"/>
              </w:rPr>
              <w:t xml:space="preserve"> de la </w:t>
            </w:r>
            <w:proofErr w:type="spellStart"/>
            <w:r>
              <w:rPr>
                <w:rFonts w:ascii="Arial" w:eastAsia="Arial" w:hAnsi="Arial" w:cs="Arial"/>
                <w:color w:val="000000"/>
                <w:sz w:val="16"/>
                <w:szCs w:val="16"/>
              </w:rPr>
              <w:t>corrupcion</w:t>
            </w:r>
            <w:proofErr w:type="spellEnd"/>
            <w:r>
              <w:rPr>
                <w:rFonts w:ascii="Arial" w:eastAsia="Arial" w:hAnsi="Arial" w:cs="Arial"/>
                <w:color w:val="000000"/>
                <w:sz w:val="16"/>
                <w:szCs w:val="16"/>
              </w:rPr>
              <w:t xml:space="preserve"> en la administración pública, en el nivel de gobierno regional.</w:t>
            </w:r>
          </w:p>
        </w:tc>
        <w:tc>
          <w:tcPr>
            <w:tcW w:w="0" w:type="auto"/>
            <w:tcBorders>
              <w:top w:val="nil"/>
              <w:left w:val="nil"/>
              <w:bottom w:val="single" w:sz="4" w:space="0" w:color="000000"/>
              <w:right w:val="single" w:sz="4" w:space="0" w:color="000000"/>
            </w:tcBorders>
            <w:shd w:val="clear" w:color="auto" w:fill="auto"/>
            <w:vAlign w:val="center"/>
          </w:tcPr>
          <w:p w14:paraId="6330DBC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Institucionalizar la modernización de la gestión pública, con acciones oportunas de fiscalización, anticorrupción y de mejora 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646D3DEF" w14:textId="77777777" w:rsidR="00B50826" w:rsidRDefault="00097513">
            <w:pPr>
              <w:jc w:val="both"/>
              <w:rPr>
                <w:rFonts w:ascii="Arial" w:eastAsia="Arial" w:hAnsi="Arial" w:cs="Arial"/>
                <w:color w:val="000000"/>
                <w:sz w:val="16"/>
                <w:szCs w:val="16"/>
              </w:rPr>
            </w:pPr>
            <w:r>
              <w:rPr>
                <w:rFonts w:ascii="Arial" w:eastAsia="Arial" w:hAnsi="Arial" w:cs="Arial"/>
                <w:color w:val="000000"/>
                <w:sz w:val="16"/>
                <w:szCs w:val="16"/>
              </w:rPr>
              <w:t>1</w:t>
            </w:r>
            <w:r w:rsidR="00006AE2">
              <w:rPr>
                <w:rFonts w:ascii="Arial" w:eastAsia="Arial" w:hAnsi="Arial" w:cs="Arial"/>
                <w:color w:val="000000"/>
                <w:sz w:val="16"/>
                <w:szCs w:val="16"/>
              </w:rPr>
              <w:t>. Promover la gobernanza, integración y modernización de la gestión pública, a fin de otorgar mayor cobertura en el bienestar de la población</w:t>
            </w:r>
          </w:p>
        </w:tc>
      </w:tr>
      <w:tr w:rsidR="00B50826" w14:paraId="1D700533" w14:textId="77777777" w:rsidTr="00097513">
        <w:trPr>
          <w:trHeight w:val="2190"/>
        </w:trPr>
        <w:tc>
          <w:tcPr>
            <w:tcW w:w="0" w:type="auto"/>
            <w:vMerge/>
            <w:tcBorders>
              <w:top w:val="nil"/>
              <w:left w:val="single" w:sz="4" w:space="0" w:color="000000"/>
              <w:bottom w:val="single" w:sz="4" w:space="0" w:color="000000"/>
              <w:right w:val="single" w:sz="4" w:space="0" w:color="000000"/>
            </w:tcBorders>
          </w:tcPr>
          <w:p w14:paraId="38DDC6EC"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2F250F9F"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3BD50FF8"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77D26253"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5D13040F"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12. Desarrollo Institucional</w:t>
            </w:r>
          </w:p>
        </w:tc>
        <w:tc>
          <w:tcPr>
            <w:tcW w:w="0" w:type="auto"/>
            <w:vMerge/>
            <w:tcBorders>
              <w:top w:val="nil"/>
              <w:left w:val="single" w:sz="4" w:space="0" w:color="000000"/>
              <w:bottom w:val="single" w:sz="4" w:space="0" w:color="000000"/>
              <w:right w:val="single" w:sz="4" w:space="0" w:color="000000"/>
            </w:tcBorders>
          </w:tcPr>
          <w:p w14:paraId="3D8FA1AB"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4A39FE61"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Institucionalizar la modernización de la gestión pública, con acciones oportunas de fiscalización, anticorrupción y de mejora 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2DE0A03D" w14:textId="77777777" w:rsidR="00B50826" w:rsidRDefault="00097513">
            <w:pPr>
              <w:jc w:val="both"/>
              <w:rPr>
                <w:rFonts w:ascii="Arial" w:eastAsia="Arial" w:hAnsi="Arial" w:cs="Arial"/>
                <w:color w:val="000000"/>
                <w:sz w:val="16"/>
                <w:szCs w:val="16"/>
              </w:rPr>
            </w:pPr>
            <w:r>
              <w:rPr>
                <w:rFonts w:ascii="Arial" w:eastAsia="Arial" w:hAnsi="Arial" w:cs="Arial"/>
                <w:color w:val="000000"/>
                <w:sz w:val="16"/>
                <w:szCs w:val="16"/>
              </w:rPr>
              <w:t>1</w:t>
            </w:r>
            <w:r w:rsidR="00006AE2">
              <w:rPr>
                <w:rFonts w:ascii="Arial" w:eastAsia="Arial" w:hAnsi="Arial" w:cs="Arial"/>
                <w:color w:val="000000"/>
                <w:sz w:val="16"/>
                <w:szCs w:val="16"/>
              </w:rPr>
              <w:t>. Promover la gobernanza, integración y modernización de la gestión pública, a fin de otorgar mayor cobertura en el bienestar de la población</w:t>
            </w:r>
          </w:p>
        </w:tc>
      </w:tr>
      <w:tr w:rsidR="00B50826" w14:paraId="13331891" w14:textId="77777777" w:rsidTr="00097513">
        <w:trPr>
          <w:trHeight w:val="71"/>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6D84427A"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26</w:t>
            </w:r>
          </w:p>
        </w:tc>
        <w:tc>
          <w:tcPr>
            <w:tcW w:w="0" w:type="auto"/>
            <w:vMerge w:val="restart"/>
            <w:tcBorders>
              <w:top w:val="nil"/>
              <w:left w:val="single" w:sz="4" w:space="0" w:color="000000"/>
              <w:bottom w:val="single" w:sz="4" w:space="0" w:color="000000"/>
              <w:right w:val="single" w:sz="4" w:space="0" w:color="000000"/>
            </w:tcBorders>
            <w:shd w:val="clear" w:color="auto" w:fill="00B0F0"/>
            <w:vAlign w:val="center"/>
          </w:tcPr>
          <w:p w14:paraId="05F73111"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Promoción de la ética y la transparencia y erradicación de la corrupción, el lavado de dinero, la evasión tributaria y el contrabando en todas sus formas</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77221EA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Fortalecimiento institucional para la gobernabilidad.</w:t>
            </w:r>
          </w:p>
        </w:tc>
        <w:tc>
          <w:tcPr>
            <w:tcW w:w="0" w:type="auto"/>
            <w:tcBorders>
              <w:top w:val="nil"/>
              <w:left w:val="nil"/>
              <w:bottom w:val="single" w:sz="4" w:space="0" w:color="000000"/>
              <w:right w:val="single" w:sz="4" w:space="0" w:color="000000"/>
            </w:tcBorders>
            <w:shd w:val="clear" w:color="auto" w:fill="auto"/>
            <w:vAlign w:val="center"/>
          </w:tcPr>
          <w:p w14:paraId="72FE154D"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18840CE8"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8. Desarrollo de capacidades.</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1CEFE35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PR16.- Desarrollar políticas de </w:t>
            </w:r>
            <w:proofErr w:type="spellStart"/>
            <w:r>
              <w:rPr>
                <w:rFonts w:ascii="Arial" w:eastAsia="Arial" w:hAnsi="Arial" w:cs="Arial"/>
                <w:color w:val="000000"/>
                <w:sz w:val="16"/>
                <w:szCs w:val="16"/>
              </w:rPr>
              <w:t>prevencion</w:t>
            </w:r>
            <w:proofErr w:type="spellEnd"/>
            <w:r>
              <w:rPr>
                <w:rFonts w:ascii="Arial" w:eastAsia="Arial" w:hAnsi="Arial" w:cs="Arial"/>
                <w:color w:val="000000"/>
                <w:sz w:val="16"/>
                <w:szCs w:val="16"/>
              </w:rPr>
              <w:t xml:space="preserve"> de la </w:t>
            </w:r>
            <w:proofErr w:type="spellStart"/>
            <w:r>
              <w:rPr>
                <w:rFonts w:ascii="Arial" w:eastAsia="Arial" w:hAnsi="Arial" w:cs="Arial"/>
                <w:color w:val="000000"/>
                <w:sz w:val="16"/>
                <w:szCs w:val="16"/>
              </w:rPr>
              <w:t>corrupcion</w:t>
            </w:r>
            <w:proofErr w:type="spellEnd"/>
            <w:r>
              <w:rPr>
                <w:rFonts w:ascii="Arial" w:eastAsia="Arial" w:hAnsi="Arial" w:cs="Arial"/>
                <w:color w:val="000000"/>
                <w:sz w:val="16"/>
                <w:szCs w:val="16"/>
              </w:rPr>
              <w:t xml:space="preserve"> en la administración pública, en el nivel de gobierno regional.</w:t>
            </w:r>
          </w:p>
        </w:tc>
        <w:tc>
          <w:tcPr>
            <w:tcW w:w="0" w:type="auto"/>
            <w:tcBorders>
              <w:top w:val="nil"/>
              <w:left w:val="nil"/>
              <w:bottom w:val="single" w:sz="4" w:space="0" w:color="000000"/>
              <w:right w:val="single" w:sz="4" w:space="0" w:color="000000"/>
            </w:tcBorders>
            <w:shd w:val="clear" w:color="auto" w:fill="auto"/>
            <w:vAlign w:val="center"/>
          </w:tcPr>
          <w:p w14:paraId="39F1704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2. Institucionalizar la modernización de la gestión pública, con acciones oportunas de fiscalización, anticorrupción y de mejora </w:t>
            </w:r>
            <w:r>
              <w:rPr>
                <w:rFonts w:ascii="Arial" w:eastAsia="Arial" w:hAnsi="Arial" w:cs="Arial"/>
                <w:color w:val="000000"/>
                <w:sz w:val="16"/>
                <w:szCs w:val="16"/>
              </w:rPr>
              <w:lastRenderedPageBreak/>
              <w:t>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7E6C1373"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lastRenderedPageBreak/>
              <w:t>3. Promover la gobernanza, integración y modernización de la gestión pública, a fin de otorgar mayor cobertura en el bienestar de la población</w:t>
            </w:r>
          </w:p>
        </w:tc>
      </w:tr>
      <w:tr w:rsidR="00B50826" w14:paraId="128F4B07" w14:textId="77777777" w:rsidTr="00097513">
        <w:trPr>
          <w:trHeight w:val="1740"/>
        </w:trPr>
        <w:tc>
          <w:tcPr>
            <w:tcW w:w="0" w:type="auto"/>
            <w:vMerge/>
            <w:tcBorders>
              <w:top w:val="nil"/>
              <w:left w:val="single" w:sz="4" w:space="0" w:color="000000"/>
              <w:bottom w:val="single" w:sz="4" w:space="0" w:color="000000"/>
              <w:right w:val="single" w:sz="4" w:space="0" w:color="000000"/>
            </w:tcBorders>
          </w:tcPr>
          <w:p w14:paraId="2A423AD5"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49D7D425"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77F27651"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2BB1EA54"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63775761"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12. Desarrollo Institucional</w:t>
            </w:r>
          </w:p>
        </w:tc>
        <w:tc>
          <w:tcPr>
            <w:tcW w:w="0" w:type="auto"/>
            <w:vMerge/>
            <w:tcBorders>
              <w:top w:val="nil"/>
              <w:left w:val="single" w:sz="4" w:space="0" w:color="000000"/>
              <w:bottom w:val="single" w:sz="4" w:space="0" w:color="000000"/>
              <w:right w:val="single" w:sz="4" w:space="0" w:color="000000"/>
            </w:tcBorders>
          </w:tcPr>
          <w:p w14:paraId="74600D49"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23EA9CB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2. Institucionalizar la modernización de la gestión pública, con acciones oportunas de fiscalización, anticorrupción y de mejora continua orientada a la satisfacción del usuario interno y externo, fortaleciendo los mecanismos de participación ciudadana.</w:t>
            </w:r>
          </w:p>
        </w:tc>
        <w:tc>
          <w:tcPr>
            <w:tcW w:w="1695" w:type="dxa"/>
            <w:tcBorders>
              <w:top w:val="nil"/>
              <w:left w:val="nil"/>
              <w:bottom w:val="single" w:sz="4" w:space="0" w:color="000000"/>
              <w:right w:val="single" w:sz="4" w:space="0" w:color="000000"/>
            </w:tcBorders>
            <w:shd w:val="clear" w:color="auto" w:fill="66FFCC"/>
            <w:vAlign w:val="center"/>
          </w:tcPr>
          <w:p w14:paraId="7A89C674"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319F19E4" w14:textId="77777777" w:rsidTr="00097513">
        <w:trPr>
          <w:trHeight w:val="2025"/>
        </w:trPr>
        <w:tc>
          <w:tcPr>
            <w:tcW w:w="0" w:type="auto"/>
            <w:tcBorders>
              <w:top w:val="nil"/>
              <w:left w:val="single" w:sz="4" w:space="0" w:color="000000"/>
              <w:bottom w:val="single" w:sz="4" w:space="0" w:color="000000"/>
              <w:right w:val="single" w:sz="4" w:space="0" w:color="000000"/>
            </w:tcBorders>
            <w:shd w:val="clear" w:color="auto" w:fill="auto"/>
            <w:vAlign w:val="center"/>
          </w:tcPr>
          <w:p w14:paraId="1E3DFAD3"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11</w:t>
            </w:r>
          </w:p>
        </w:tc>
        <w:tc>
          <w:tcPr>
            <w:tcW w:w="0" w:type="auto"/>
            <w:tcBorders>
              <w:top w:val="nil"/>
              <w:left w:val="nil"/>
              <w:bottom w:val="single" w:sz="4" w:space="0" w:color="000000"/>
              <w:right w:val="single" w:sz="4" w:space="0" w:color="000000"/>
            </w:tcBorders>
            <w:shd w:val="clear" w:color="auto" w:fill="0070C0"/>
            <w:vAlign w:val="center"/>
          </w:tcPr>
          <w:p w14:paraId="4ACC3BBB"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Promoción de la igualdad de oportunidades sin discriminación</w:t>
            </w:r>
          </w:p>
        </w:tc>
        <w:tc>
          <w:tcPr>
            <w:tcW w:w="0" w:type="auto"/>
            <w:tcBorders>
              <w:top w:val="nil"/>
              <w:left w:val="nil"/>
              <w:bottom w:val="single" w:sz="4" w:space="0" w:color="000000"/>
              <w:right w:val="single" w:sz="4" w:space="0" w:color="000000"/>
            </w:tcBorders>
            <w:shd w:val="clear" w:color="auto" w:fill="auto"/>
            <w:vAlign w:val="center"/>
          </w:tcPr>
          <w:p w14:paraId="181C4EE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Desarrollo social y bienestar de la población.</w:t>
            </w:r>
          </w:p>
        </w:tc>
        <w:tc>
          <w:tcPr>
            <w:tcW w:w="0" w:type="auto"/>
            <w:tcBorders>
              <w:top w:val="nil"/>
              <w:left w:val="nil"/>
              <w:bottom w:val="single" w:sz="4" w:space="0" w:color="000000"/>
              <w:right w:val="single" w:sz="4" w:space="0" w:color="000000"/>
            </w:tcBorders>
            <w:shd w:val="clear" w:color="auto" w:fill="auto"/>
            <w:vAlign w:val="center"/>
          </w:tcPr>
          <w:p w14:paraId="110C9359"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2A7D681E"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281015E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PR17.- Promoción de la igualdad de Oportunidades sin Discriminación.</w:t>
            </w:r>
          </w:p>
        </w:tc>
        <w:tc>
          <w:tcPr>
            <w:tcW w:w="0" w:type="auto"/>
            <w:tcBorders>
              <w:top w:val="nil"/>
              <w:left w:val="nil"/>
              <w:bottom w:val="single" w:sz="4" w:space="0" w:color="000000"/>
              <w:right w:val="single" w:sz="4" w:space="0" w:color="000000"/>
            </w:tcBorders>
            <w:shd w:val="clear" w:color="auto" w:fill="auto"/>
            <w:vAlign w:val="center"/>
          </w:tcPr>
          <w:p w14:paraId="0C23F71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6. Garantizar un desarrollo social basado en la inclusión de poblaciones en situación vulnerable y respeto por la interculturalidad, en un ambiente de convivencia pacífica y segura.</w:t>
            </w:r>
          </w:p>
        </w:tc>
        <w:tc>
          <w:tcPr>
            <w:tcW w:w="1695" w:type="dxa"/>
            <w:tcBorders>
              <w:top w:val="nil"/>
              <w:left w:val="nil"/>
              <w:bottom w:val="single" w:sz="4" w:space="0" w:color="000000"/>
              <w:right w:val="single" w:sz="4" w:space="0" w:color="000000"/>
            </w:tcBorders>
            <w:shd w:val="clear" w:color="auto" w:fill="66FFCC"/>
            <w:vAlign w:val="center"/>
          </w:tcPr>
          <w:p w14:paraId="5ACAD01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490128E8" w14:textId="77777777" w:rsidTr="00097513">
        <w:trPr>
          <w:trHeight w:val="1530"/>
        </w:trPr>
        <w:tc>
          <w:tcPr>
            <w:tcW w:w="0" w:type="auto"/>
            <w:tcBorders>
              <w:top w:val="nil"/>
              <w:left w:val="single" w:sz="4" w:space="0" w:color="000000"/>
              <w:bottom w:val="single" w:sz="4" w:space="0" w:color="000000"/>
              <w:right w:val="single" w:sz="4" w:space="0" w:color="000000"/>
            </w:tcBorders>
            <w:shd w:val="clear" w:color="auto" w:fill="auto"/>
            <w:vAlign w:val="center"/>
          </w:tcPr>
          <w:p w14:paraId="3FB1177F"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12</w:t>
            </w:r>
          </w:p>
        </w:tc>
        <w:tc>
          <w:tcPr>
            <w:tcW w:w="0" w:type="auto"/>
            <w:tcBorders>
              <w:top w:val="nil"/>
              <w:left w:val="nil"/>
              <w:bottom w:val="single" w:sz="4" w:space="0" w:color="000000"/>
              <w:right w:val="single" w:sz="4" w:space="0" w:color="000000"/>
            </w:tcBorders>
            <w:shd w:val="clear" w:color="auto" w:fill="0070C0"/>
            <w:vAlign w:val="center"/>
          </w:tcPr>
          <w:p w14:paraId="07DF2A8C"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Acceso universal a una educación pública gratuita y de calidad y promoción y defensa de la cultura y del deporte</w:t>
            </w:r>
          </w:p>
        </w:tc>
        <w:tc>
          <w:tcPr>
            <w:tcW w:w="0" w:type="auto"/>
            <w:tcBorders>
              <w:top w:val="nil"/>
              <w:left w:val="nil"/>
              <w:bottom w:val="single" w:sz="4" w:space="0" w:color="000000"/>
              <w:right w:val="single" w:sz="4" w:space="0" w:color="000000"/>
            </w:tcBorders>
            <w:shd w:val="clear" w:color="auto" w:fill="auto"/>
            <w:vAlign w:val="center"/>
          </w:tcPr>
          <w:p w14:paraId="176FF44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Desarrollo social y bienestar de la población.</w:t>
            </w:r>
          </w:p>
        </w:tc>
        <w:tc>
          <w:tcPr>
            <w:tcW w:w="0" w:type="auto"/>
            <w:tcBorders>
              <w:top w:val="nil"/>
              <w:left w:val="nil"/>
              <w:bottom w:val="single" w:sz="4" w:space="0" w:color="000000"/>
              <w:right w:val="single" w:sz="4" w:space="0" w:color="000000"/>
            </w:tcBorders>
            <w:shd w:val="clear" w:color="auto" w:fill="auto"/>
            <w:vAlign w:val="center"/>
          </w:tcPr>
          <w:p w14:paraId="3CFC3E0F"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33E5AA9A"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0CCEB80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PR4.- </w:t>
            </w:r>
            <w:proofErr w:type="gramStart"/>
            <w:r>
              <w:rPr>
                <w:rFonts w:ascii="Arial" w:eastAsia="Arial" w:hAnsi="Arial" w:cs="Arial"/>
                <w:color w:val="000000"/>
                <w:sz w:val="16"/>
                <w:szCs w:val="16"/>
              </w:rPr>
              <w:t>Garantizar  el</w:t>
            </w:r>
            <w:proofErr w:type="gramEnd"/>
            <w:r>
              <w:rPr>
                <w:rFonts w:ascii="Arial" w:eastAsia="Arial" w:hAnsi="Arial" w:cs="Arial"/>
                <w:color w:val="000000"/>
                <w:sz w:val="16"/>
                <w:szCs w:val="16"/>
              </w:rPr>
              <w:t xml:space="preserve"> acceso de una educación de calidad, equitativa, inclusiva, oportuna y con valores, desde la primera infancia.</w:t>
            </w:r>
          </w:p>
        </w:tc>
        <w:tc>
          <w:tcPr>
            <w:tcW w:w="0" w:type="auto"/>
            <w:tcBorders>
              <w:top w:val="nil"/>
              <w:left w:val="nil"/>
              <w:bottom w:val="single" w:sz="4" w:space="0" w:color="000000"/>
              <w:right w:val="single" w:sz="4" w:space="0" w:color="000000"/>
            </w:tcBorders>
            <w:shd w:val="clear" w:color="auto" w:fill="auto"/>
            <w:vAlign w:val="center"/>
          </w:tcPr>
          <w:p w14:paraId="7176B57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66FFCC"/>
            <w:vAlign w:val="center"/>
          </w:tcPr>
          <w:p w14:paraId="721C76A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474082FB" w14:textId="77777777" w:rsidTr="00097513">
        <w:trPr>
          <w:trHeight w:val="1620"/>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4C8B1B55"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13</w:t>
            </w:r>
          </w:p>
        </w:tc>
        <w:tc>
          <w:tcPr>
            <w:tcW w:w="0" w:type="auto"/>
            <w:vMerge w:val="restart"/>
            <w:tcBorders>
              <w:top w:val="nil"/>
              <w:left w:val="single" w:sz="4" w:space="0" w:color="000000"/>
              <w:bottom w:val="single" w:sz="4" w:space="0" w:color="000000"/>
              <w:right w:val="single" w:sz="4" w:space="0" w:color="000000"/>
            </w:tcBorders>
            <w:shd w:val="clear" w:color="auto" w:fill="0070C0"/>
            <w:vAlign w:val="center"/>
          </w:tcPr>
          <w:p w14:paraId="0FA4578F"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Acceso universal a los servicios de salud y a la seguridad social</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2EBFCDF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Desarrollo social y bienestar de la población.</w:t>
            </w:r>
          </w:p>
        </w:tc>
        <w:tc>
          <w:tcPr>
            <w:tcW w:w="0" w:type="auto"/>
            <w:tcBorders>
              <w:top w:val="nil"/>
              <w:left w:val="nil"/>
              <w:bottom w:val="single" w:sz="4" w:space="0" w:color="000000"/>
              <w:right w:val="single" w:sz="4" w:space="0" w:color="000000"/>
            </w:tcBorders>
            <w:shd w:val="clear" w:color="auto" w:fill="auto"/>
            <w:vAlign w:val="center"/>
          </w:tcPr>
          <w:p w14:paraId="0F4D1503"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1B2BC1E0"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nil"/>
              <w:right w:val="single" w:sz="4" w:space="0" w:color="000000"/>
            </w:tcBorders>
            <w:shd w:val="clear" w:color="auto" w:fill="auto"/>
            <w:vAlign w:val="center"/>
          </w:tcPr>
          <w:p w14:paraId="78B9612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 Garantizar el buen inicio a la vida y la salud en todas las etapas de vida, respetando la cultura y priorizando las zonas rurales y poblaciones nativas, a fin de reducir brechas urbanas y rurales.</w:t>
            </w:r>
          </w:p>
        </w:tc>
        <w:tc>
          <w:tcPr>
            <w:tcW w:w="0" w:type="auto"/>
            <w:tcBorders>
              <w:top w:val="nil"/>
              <w:left w:val="nil"/>
              <w:bottom w:val="single" w:sz="4" w:space="0" w:color="000000"/>
              <w:right w:val="single" w:sz="4" w:space="0" w:color="000000"/>
            </w:tcBorders>
            <w:shd w:val="clear" w:color="auto" w:fill="auto"/>
            <w:vAlign w:val="center"/>
          </w:tcPr>
          <w:p w14:paraId="7AD1DB0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66FFCC"/>
            <w:vAlign w:val="center"/>
          </w:tcPr>
          <w:p w14:paraId="5FCC9A1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273F9F85" w14:textId="77777777" w:rsidTr="00097513">
        <w:trPr>
          <w:trHeight w:val="1620"/>
        </w:trPr>
        <w:tc>
          <w:tcPr>
            <w:tcW w:w="0" w:type="auto"/>
            <w:vMerge/>
            <w:tcBorders>
              <w:top w:val="nil"/>
              <w:left w:val="single" w:sz="4" w:space="0" w:color="000000"/>
              <w:bottom w:val="single" w:sz="4" w:space="0" w:color="000000"/>
              <w:right w:val="single" w:sz="4" w:space="0" w:color="000000"/>
            </w:tcBorders>
          </w:tcPr>
          <w:p w14:paraId="10ED9F1E"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06FE03C4"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59E31CB7"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78D18041"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18322D69"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804C8EB"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PR2. Garantizar la continuidad del </w:t>
            </w:r>
            <w:proofErr w:type="gramStart"/>
            <w:r>
              <w:rPr>
                <w:rFonts w:ascii="Arial" w:eastAsia="Arial" w:hAnsi="Arial" w:cs="Arial"/>
                <w:color w:val="000000"/>
                <w:sz w:val="16"/>
                <w:szCs w:val="16"/>
              </w:rPr>
              <w:t>crecimiento  y</w:t>
            </w:r>
            <w:proofErr w:type="gramEnd"/>
            <w:r>
              <w:rPr>
                <w:rFonts w:ascii="Arial" w:eastAsia="Arial" w:hAnsi="Arial" w:cs="Arial"/>
                <w:color w:val="000000"/>
                <w:sz w:val="16"/>
                <w:szCs w:val="16"/>
              </w:rPr>
              <w:t xml:space="preserve"> una vida saludable sin anemia y </w:t>
            </w:r>
            <w:proofErr w:type="spellStart"/>
            <w:r>
              <w:rPr>
                <w:rFonts w:ascii="Arial" w:eastAsia="Arial" w:hAnsi="Arial" w:cs="Arial"/>
                <w:color w:val="000000"/>
                <w:sz w:val="16"/>
                <w:szCs w:val="16"/>
              </w:rPr>
              <w:t>desnutricion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cronica</w:t>
            </w:r>
            <w:proofErr w:type="spellEnd"/>
            <w:r>
              <w:rPr>
                <w:rFonts w:ascii="Arial" w:eastAsia="Arial" w:hAnsi="Arial" w:cs="Arial"/>
                <w:color w:val="000000"/>
                <w:sz w:val="16"/>
                <w:szCs w:val="16"/>
              </w:rPr>
              <w:t xml:space="preserve">, desde la </w:t>
            </w:r>
            <w:proofErr w:type="spellStart"/>
            <w:r>
              <w:rPr>
                <w:rFonts w:ascii="Arial" w:eastAsia="Arial" w:hAnsi="Arial" w:cs="Arial"/>
                <w:color w:val="000000"/>
                <w:sz w:val="16"/>
                <w:szCs w:val="16"/>
              </w:rPr>
              <w:t>concepcion</w:t>
            </w:r>
            <w:proofErr w:type="spellEnd"/>
            <w:r>
              <w:rPr>
                <w:rFonts w:ascii="Arial" w:eastAsia="Arial" w:hAnsi="Arial" w:cs="Arial"/>
                <w:color w:val="000000"/>
                <w:sz w:val="16"/>
                <w:szCs w:val="16"/>
              </w:rPr>
              <w:t>.</w:t>
            </w:r>
          </w:p>
        </w:tc>
        <w:tc>
          <w:tcPr>
            <w:tcW w:w="0" w:type="auto"/>
            <w:tcBorders>
              <w:top w:val="nil"/>
              <w:left w:val="nil"/>
              <w:bottom w:val="single" w:sz="4" w:space="0" w:color="000000"/>
              <w:right w:val="single" w:sz="4" w:space="0" w:color="000000"/>
            </w:tcBorders>
            <w:shd w:val="clear" w:color="auto" w:fill="auto"/>
            <w:vAlign w:val="center"/>
          </w:tcPr>
          <w:p w14:paraId="4A9CCCE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66FFCC"/>
            <w:vAlign w:val="center"/>
          </w:tcPr>
          <w:p w14:paraId="7C6E1C4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45FDB2D9" w14:textId="77777777" w:rsidTr="00097513">
        <w:trPr>
          <w:trHeight w:val="274"/>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4ED76EFB"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15</w:t>
            </w:r>
          </w:p>
        </w:tc>
        <w:tc>
          <w:tcPr>
            <w:tcW w:w="0" w:type="auto"/>
            <w:vMerge w:val="restart"/>
            <w:tcBorders>
              <w:top w:val="nil"/>
              <w:left w:val="single" w:sz="4" w:space="0" w:color="000000"/>
              <w:bottom w:val="single" w:sz="4" w:space="0" w:color="000000"/>
              <w:right w:val="single" w:sz="4" w:space="0" w:color="000000"/>
            </w:tcBorders>
            <w:shd w:val="clear" w:color="auto" w:fill="0070C0"/>
            <w:vAlign w:val="center"/>
          </w:tcPr>
          <w:p w14:paraId="39C97FD5"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Promoción de la seguridad alimentaria y nutrición</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0239D06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Desarrollo social y bienestar de la población.</w:t>
            </w:r>
          </w:p>
        </w:tc>
        <w:tc>
          <w:tcPr>
            <w:tcW w:w="0" w:type="auto"/>
            <w:tcBorders>
              <w:top w:val="nil"/>
              <w:left w:val="nil"/>
              <w:bottom w:val="single" w:sz="4" w:space="0" w:color="000000"/>
              <w:right w:val="single" w:sz="4" w:space="0" w:color="000000"/>
            </w:tcBorders>
            <w:shd w:val="clear" w:color="auto" w:fill="auto"/>
            <w:vAlign w:val="center"/>
          </w:tcPr>
          <w:p w14:paraId="7EFC6723"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340DAF9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11. Sanidad agraria e inocuidad agroalimentaria</w:t>
            </w:r>
          </w:p>
        </w:tc>
        <w:tc>
          <w:tcPr>
            <w:tcW w:w="0" w:type="auto"/>
            <w:tcBorders>
              <w:top w:val="nil"/>
              <w:left w:val="nil"/>
              <w:bottom w:val="single" w:sz="4" w:space="0" w:color="000000"/>
              <w:right w:val="single" w:sz="4" w:space="0" w:color="000000"/>
            </w:tcBorders>
            <w:shd w:val="clear" w:color="auto" w:fill="auto"/>
            <w:vAlign w:val="center"/>
          </w:tcPr>
          <w:p w14:paraId="0C16FB3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 Garantizar el buen inicio a la vida y la salud en todas las etapas de vida, </w:t>
            </w:r>
            <w:r>
              <w:rPr>
                <w:rFonts w:ascii="Arial" w:eastAsia="Arial" w:hAnsi="Arial" w:cs="Arial"/>
                <w:color w:val="000000"/>
                <w:sz w:val="16"/>
                <w:szCs w:val="16"/>
              </w:rPr>
              <w:lastRenderedPageBreak/>
              <w:t>respetando la cultura y priorizando las zonas rurales y poblaciones nativas, a fin de reducir brechas urbanas y rurales.</w:t>
            </w:r>
          </w:p>
        </w:tc>
        <w:tc>
          <w:tcPr>
            <w:tcW w:w="0" w:type="auto"/>
            <w:tcBorders>
              <w:top w:val="nil"/>
              <w:left w:val="nil"/>
              <w:bottom w:val="single" w:sz="4" w:space="0" w:color="000000"/>
              <w:right w:val="single" w:sz="4" w:space="0" w:color="000000"/>
            </w:tcBorders>
            <w:shd w:val="clear" w:color="auto" w:fill="auto"/>
            <w:vAlign w:val="center"/>
          </w:tcPr>
          <w:p w14:paraId="68B05D5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4. Mejorar el bienestar colectivo social a través de una </w:t>
            </w:r>
            <w:r>
              <w:rPr>
                <w:rFonts w:ascii="Arial" w:eastAsia="Arial" w:hAnsi="Arial" w:cs="Arial"/>
                <w:color w:val="000000"/>
                <w:sz w:val="16"/>
                <w:szCs w:val="16"/>
              </w:rPr>
              <w:lastRenderedPageBreak/>
              <w:t>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F8CBAD"/>
            <w:vAlign w:val="center"/>
          </w:tcPr>
          <w:p w14:paraId="50FAF10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1. Contribuir en el Incremento de la competitividad de las principales </w:t>
            </w:r>
            <w:r>
              <w:rPr>
                <w:rFonts w:ascii="Arial" w:eastAsia="Arial" w:hAnsi="Arial" w:cs="Arial"/>
                <w:color w:val="000000"/>
                <w:sz w:val="16"/>
                <w:szCs w:val="16"/>
              </w:rPr>
              <w:lastRenderedPageBreak/>
              <w:t>cadenas productivas del territorio de manera económica, social y ambientalmente sostenible.</w:t>
            </w:r>
          </w:p>
        </w:tc>
      </w:tr>
      <w:tr w:rsidR="00B50826" w14:paraId="4F9DB267" w14:textId="77777777" w:rsidTr="00097513">
        <w:trPr>
          <w:trHeight w:val="1845"/>
        </w:trPr>
        <w:tc>
          <w:tcPr>
            <w:tcW w:w="0" w:type="auto"/>
            <w:vMerge/>
            <w:tcBorders>
              <w:top w:val="nil"/>
              <w:left w:val="single" w:sz="4" w:space="0" w:color="000000"/>
              <w:bottom w:val="single" w:sz="4" w:space="0" w:color="000000"/>
              <w:right w:val="single" w:sz="4" w:space="0" w:color="000000"/>
            </w:tcBorders>
          </w:tcPr>
          <w:p w14:paraId="30C2FABC"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4319D836"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51886842"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7914813E"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22AF1C7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9. Reconversión productiva y diversificación.</w:t>
            </w:r>
          </w:p>
        </w:tc>
        <w:tc>
          <w:tcPr>
            <w:tcW w:w="0" w:type="auto"/>
            <w:tcBorders>
              <w:top w:val="nil"/>
              <w:left w:val="nil"/>
              <w:bottom w:val="single" w:sz="4" w:space="0" w:color="000000"/>
              <w:right w:val="single" w:sz="4" w:space="0" w:color="000000"/>
            </w:tcBorders>
            <w:shd w:val="clear" w:color="auto" w:fill="auto"/>
            <w:vAlign w:val="center"/>
          </w:tcPr>
          <w:p w14:paraId="32E4AFB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 Garantizar el buen inicio a la vida y la salud en todas las etapas de vida, respetando la cultura y priorizando las zonas rurales y poblaciones nativas, a fin de reducir brechas urbanas y rurales.</w:t>
            </w:r>
          </w:p>
        </w:tc>
        <w:tc>
          <w:tcPr>
            <w:tcW w:w="0" w:type="auto"/>
            <w:tcBorders>
              <w:top w:val="nil"/>
              <w:left w:val="nil"/>
              <w:bottom w:val="single" w:sz="4" w:space="0" w:color="000000"/>
              <w:right w:val="single" w:sz="4" w:space="0" w:color="000000"/>
            </w:tcBorders>
            <w:shd w:val="clear" w:color="auto" w:fill="auto"/>
            <w:vAlign w:val="center"/>
          </w:tcPr>
          <w:p w14:paraId="0A35E43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F8CBAD"/>
            <w:vAlign w:val="center"/>
          </w:tcPr>
          <w:p w14:paraId="507FBDB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7B528134" w14:textId="77777777" w:rsidTr="00097513">
        <w:trPr>
          <w:trHeight w:val="175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6FD1F79A"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16</w:t>
            </w:r>
          </w:p>
        </w:tc>
        <w:tc>
          <w:tcPr>
            <w:tcW w:w="0" w:type="auto"/>
            <w:vMerge w:val="restart"/>
            <w:tcBorders>
              <w:top w:val="nil"/>
              <w:left w:val="single" w:sz="4" w:space="0" w:color="000000"/>
              <w:bottom w:val="single" w:sz="4" w:space="0" w:color="000000"/>
              <w:right w:val="single" w:sz="4" w:space="0" w:color="000000"/>
            </w:tcBorders>
            <w:shd w:val="clear" w:color="auto" w:fill="0070C0"/>
            <w:vAlign w:val="center"/>
          </w:tcPr>
          <w:p w14:paraId="6514B525"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Fortalecimiento de la familia, protección y promoción de la niñez, la adolescencia y la juventud</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6676435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Desarrollo social y bienestar de la población.</w:t>
            </w:r>
          </w:p>
        </w:tc>
        <w:tc>
          <w:tcPr>
            <w:tcW w:w="0" w:type="auto"/>
            <w:tcBorders>
              <w:top w:val="nil"/>
              <w:left w:val="nil"/>
              <w:bottom w:val="single" w:sz="4" w:space="0" w:color="000000"/>
              <w:right w:val="single" w:sz="4" w:space="0" w:color="000000"/>
            </w:tcBorders>
            <w:shd w:val="clear" w:color="auto" w:fill="auto"/>
            <w:vAlign w:val="center"/>
          </w:tcPr>
          <w:p w14:paraId="6202B7A6"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1D4C40FC"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1165C9A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 Garantizar el buen inicio a la vida y la salud en todas las etapas de vida, respetando la cultura y priorizando las zonas rurales y poblaciones nativas, a fin de reducir brechas urbanas y rurales.</w:t>
            </w:r>
          </w:p>
        </w:tc>
        <w:tc>
          <w:tcPr>
            <w:tcW w:w="0" w:type="auto"/>
            <w:tcBorders>
              <w:top w:val="nil"/>
              <w:left w:val="nil"/>
              <w:bottom w:val="single" w:sz="4" w:space="0" w:color="000000"/>
              <w:right w:val="single" w:sz="4" w:space="0" w:color="000000"/>
            </w:tcBorders>
            <w:shd w:val="clear" w:color="auto" w:fill="auto"/>
            <w:vAlign w:val="center"/>
          </w:tcPr>
          <w:p w14:paraId="08F6F2A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66FFCC"/>
            <w:vAlign w:val="center"/>
          </w:tcPr>
          <w:p w14:paraId="04C7AD5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04DDA6ED" w14:textId="77777777" w:rsidTr="00097513">
        <w:trPr>
          <w:trHeight w:val="1635"/>
        </w:trPr>
        <w:tc>
          <w:tcPr>
            <w:tcW w:w="0" w:type="auto"/>
            <w:vMerge/>
            <w:tcBorders>
              <w:top w:val="nil"/>
              <w:left w:val="single" w:sz="4" w:space="0" w:color="000000"/>
              <w:bottom w:val="single" w:sz="4" w:space="0" w:color="000000"/>
              <w:right w:val="single" w:sz="4" w:space="0" w:color="000000"/>
            </w:tcBorders>
          </w:tcPr>
          <w:p w14:paraId="27339F7A"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0279E144"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18C3AE4B"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26023CC1"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3EE189DC"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6D729D4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PR4.- </w:t>
            </w:r>
            <w:proofErr w:type="gramStart"/>
            <w:r>
              <w:rPr>
                <w:rFonts w:ascii="Arial" w:eastAsia="Arial" w:hAnsi="Arial" w:cs="Arial"/>
                <w:color w:val="000000"/>
                <w:sz w:val="16"/>
                <w:szCs w:val="16"/>
              </w:rPr>
              <w:t>Garantizar  el</w:t>
            </w:r>
            <w:proofErr w:type="gramEnd"/>
            <w:r>
              <w:rPr>
                <w:rFonts w:ascii="Arial" w:eastAsia="Arial" w:hAnsi="Arial" w:cs="Arial"/>
                <w:color w:val="000000"/>
                <w:sz w:val="16"/>
                <w:szCs w:val="16"/>
              </w:rPr>
              <w:t xml:space="preserve"> acceso de una educación de calidad, equitativa, inclusiva, oportuna y con valores, desde la primera infancia.</w:t>
            </w:r>
          </w:p>
        </w:tc>
        <w:tc>
          <w:tcPr>
            <w:tcW w:w="0" w:type="auto"/>
            <w:tcBorders>
              <w:top w:val="nil"/>
              <w:left w:val="nil"/>
              <w:bottom w:val="single" w:sz="4" w:space="0" w:color="000000"/>
              <w:right w:val="single" w:sz="4" w:space="0" w:color="000000"/>
            </w:tcBorders>
            <w:shd w:val="clear" w:color="auto" w:fill="auto"/>
            <w:vAlign w:val="center"/>
          </w:tcPr>
          <w:p w14:paraId="61089D4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66FFCC"/>
            <w:vAlign w:val="center"/>
          </w:tcPr>
          <w:p w14:paraId="2285DF8B"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44E9387E" w14:textId="77777777" w:rsidTr="00097513">
        <w:trPr>
          <w:trHeight w:val="1605"/>
        </w:trPr>
        <w:tc>
          <w:tcPr>
            <w:tcW w:w="0" w:type="auto"/>
            <w:tcBorders>
              <w:top w:val="nil"/>
              <w:left w:val="single" w:sz="4" w:space="0" w:color="000000"/>
              <w:bottom w:val="single" w:sz="4" w:space="0" w:color="000000"/>
              <w:right w:val="single" w:sz="4" w:space="0" w:color="000000"/>
            </w:tcBorders>
            <w:shd w:val="clear" w:color="auto" w:fill="auto"/>
            <w:vAlign w:val="center"/>
          </w:tcPr>
          <w:p w14:paraId="465973E4"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21</w:t>
            </w:r>
          </w:p>
        </w:tc>
        <w:tc>
          <w:tcPr>
            <w:tcW w:w="0" w:type="auto"/>
            <w:tcBorders>
              <w:top w:val="nil"/>
              <w:left w:val="nil"/>
              <w:bottom w:val="single" w:sz="4" w:space="0" w:color="000000"/>
              <w:right w:val="single" w:sz="4" w:space="0" w:color="000000"/>
            </w:tcBorders>
            <w:shd w:val="clear" w:color="auto" w:fill="0070C0"/>
            <w:vAlign w:val="center"/>
          </w:tcPr>
          <w:p w14:paraId="70BFC898"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 xml:space="preserve">Desarrollo en infraestructura y vivienda </w:t>
            </w:r>
          </w:p>
        </w:tc>
        <w:tc>
          <w:tcPr>
            <w:tcW w:w="0" w:type="auto"/>
            <w:tcBorders>
              <w:top w:val="nil"/>
              <w:left w:val="nil"/>
              <w:bottom w:val="single" w:sz="4" w:space="0" w:color="000000"/>
              <w:right w:val="single" w:sz="4" w:space="0" w:color="000000"/>
            </w:tcBorders>
            <w:shd w:val="clear" w:color="auto" w:fill="auto"/>
            <w:vAlign w:val="center"/>
          </w:tcPr>
          <w:p w14:paraId="087F561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Desarrollo social y bienestar de la población.</w:t>
            </w:r>
          </w:p>
        </w:tc>
        <w:tc>
          <w:tcPr>
            <w:tcW w:w="0" w:type="auto"/>
            <w:tcBorders>
              <w:top w:val="nil"/>
              <w:left w:val="nil"/>
              <w:bottom w:val="single" w:sz="4" w:space="0" w:color="000000"/>
              <w:right w:val="single" w:sz="4" w:space="0" w:color="000000"/>
            </w:tcBorders>
            <w:shd w:val="clear" w:color="auto" w:fill="auto"/>
            <w:vAlign w:val="center"/>
          </w:tcPr>
          <w:p w14:paraId="1816BFB2"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3BC4D57F"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093F4E1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PR15.- Cerrar las brechas de la cobertura de agua y desagüe que garanticen el ejercicio del derecho a la salud de la población.</w:t>
            </w:r>
          </w:p>
        </w:tc>
        <w:tc>
          <w:tcPr>
            <w:tcW w:w="0" w:type="auto"/>
            <w:tcBorders>
              <w:top w:val="nil"/>
              <w:left w:val="nil"/>
              <w:bottom w:val="single" w:sz="4" w:space="0" w:color="000000"/>
              <w:right w:val="single" w:sz="4" w:space="0" w:color="000000"/>
            </w:tcBorders>
            <w:shd w:val="clear" w:color="auto" w:fill="auto"/>
            <w:vAlign w:val="center"/>
          </w:tcPr>
          <w:p w14:paraId="5CA2AF5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Mejorar el bienestar colectivo social a través de una cobertura equitativa y de calidad de prestación de los servicios básicos.</w:t>
            </w:r>
          </w:p>
        </w:tc>
        <w:tc>
          <w:tcPr>
            <w:tcW w:w="1695" w:type="dxa"/>
            <w:tcBorders>
              <w:top w:val="nil"/>
              <w:left w:val="nil"/>
              <w:bottom w:val="single" w:sz="4" w:space="0" w:color="000000"/>
              <w:right w:val="single" w:sz="4" w:space="0" w:color="000000"/>
            </w:tcBorders>
            <w:shd w:val="clear" w:color="auto" w:fill="66FFCC"/>
            <w:vAlign w:val="center"/>
          </w:tcPr>
          <w:p w14:paraId="682DECFB"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4FB71D4F" w14:textId="77777777" w:rsidTr="00097513">
        <w:trPr>
          <w:trHeight w:val="1635"/>
        </w:trPr>
        <w:tc>
          <w:tcPr>
            <w:tcW w:w="0" w:type="auto"/>
            <w:tcBorders>
              <w:top w:val="nil"/>
              <w:left w:val="single" w:sz="4" w:space="0" w:color="000000"/>
              <w:bottom w:val="single" w:sz="4" w:space="0" w:color="000000"/>
              <w:right w:val="single" w:sz="4" w:space="0" w:color="000000"/>
            </w:tcBorders>
            <w:shd w:val="clear" w:color="auto" w:fill="auto"/>
            <w:vAlign w:val="center"/>
          </w:tcPr>
          <w:p w14:paraId="42291569"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10</w:t>
            </w:r>
          </w:p>
        </w:tc>
        <w:tc>
          <w:tcPr>
            <w:tcW w:w="0" w:type="auto"/>
            <w:vMerge w:val="restart"/>
            <w:tcBorders>
              <w:top w:val="nil"/>
              <w:left w:val="single" w:sz="4" w:space="0" w:color="000000"/>
              <w:bottom w:val="single" w:sz="4" w:space="0" w:color="000000"/>
              <w:right w:val="single" w:sz="4" w:space="0" w:color="000000"/>
            </w:tcBorders>
            <w:shd w:val="clear" w:color="auto" w:fill="FFC000"/>
            <w:vAlign w:val="center"/>
          </w:tcPr>
          <w:p w14:paraId="3D273C9B"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Reducción de la pobreza</w:t>
            </w:r>
          </w:p>
        </w:tc>
        <w:tc>
          <w:tcPr>
            <w:tcW w:w="0" w:type="auto"/>
            <w:tcBorders>
              <w:top w:val="nil"/>
              <w:left w:val="nil"/>
              <w:bottom w:val="single" w:sz="4" w:space="0" w:color="000000"/>
              <w:right w:val="single" w:sz="4" w:space="0" w:color="000000"/>
            </w:tcBorders>
            <w:shd w:val="clear" w:color="auto" w:fill="auto"/>
            <w:vAlign w:val="center"/>
          </w:tcPr>
          <w:p w14:paraId="254CC98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0DDBCA89"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43F5ADBB"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4316AF1B"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58488649"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1695" w:type="dxa"/>
            <w:tcBorders>
              <w:top w:val="nil"/>
              <w:left w:val="nil"/>
              <w:bottom w:val="single" w:sz="4" w:space="0" w:color="000000"/>
              <w:right w:val="single" w:sz="4" w:space="0" w:color="000000"/>
            </w:tcBorders>
            <w:shd w:val="clear" w:color="auto" w:fill="66FFCC"/>
            <w:vAlign w:val="center"/>
          </w:tcPr>
          <w:p w14:paraId="7154727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Promover la gobernanza, integración y modernización de la gestión pública, a fin de otorgar mayor cobertura en el bienestar de la población</w:t>
            </w:r>
          </w:p>
        </w:tc>
      </w:tr>
      <w:tr w:rsidR="00B50826" w14:paraId="40AC6AE2" w14:textId="77777777" w:rsidTr="00097513">
        <w:trPr>
          <w:trHeight w:val="1635"/>
        </w:trPr>
        <w:tc>
          <w:tcPr>
            <w:tcW w:w="0" w:type="auto"/>
            <w:tcBorders>
              <w:top w:val="nil"/>
              <w:left w:val="single" w:sz="4" w:space="0" w:color="000000"/>
              <w:bottom w:val="single" w:sz="4" w:space="0" w:color="000000"/>
              <w:right w:val="single" w:sz="4" w:space="0" w:color="000000"/>
            </w:tcBorders>
            <w:shd w:val="clear" w:color="auto" w:fill="auto"/>
            <w:vAlign w:val="center"/>
          </w:tcPr>
          <w:p w14:paraId="3EEC4BD2"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 </w:t>
            </w:r>
          </w:p>
        </w:tc>
        <w:tc>
          <w:tcPr>
            <w:tcW w:w="0" w:type="auto"/>
            <w:vMerge/>
            <w:tcBorders>
              <w:top w:val="nil"/>
              <w:left w:val="single" w:sz="4" w:space="0" w:color="000000"/>
              <w:bottom w:val="single" w:sz="4" w:space="0" w:color="000000"/>
              <w:right w:val="single" w:sz="4" w:space="0" w:color="000000"/>
            </w:tcBorders>
          </w:tcPr>
          <w:p w14:paraId="0A259541"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5EDB898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27389CC6"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41E31466"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3F9256EF"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6C1DEC68"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1695" w:type="dxa"/>
            <w:tcBorders>
              <w:top w:val="nil"/>
              <w:left w:val="nil"/>
              <w:bottom w:val="single" w:sz="4" w:space="0" w:color="000000"/>
              <w:right w:val="single" w:sz="4" w:space="0" w:color="000000"/>
            </w:tcBorders>
            <w:shd w:val="clear" w:color="auto" w:fill="F8CBAD"/>
            <w:vAlign w:val="center"/>
          </w:tcPr>
          <w:p w14:paraId="53034CF6"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1F01D3C9" w14:textId="77777777" w:rsidTr="00097513">
        <w:trPr>
          <w:trHeight w:val="1635"/>
        </w:trPr>
        <w:tc>
          <w:tcPr>
            <w:tcW w:w="0" w:type="auto"/>
            <w:tcBorders>
              <w:top w:val="nil"/>
              <w:left w:val="single" w:sz="4" w:space="0" w:color="000000"/>
              <w:bottom w:val="single" w:sz="4" w:space="0" w:color="000000"/>
              <w:right w:val="single" w:sz="4" w:space="0" w:color="000000"/>
            </w:tcBorders>
            <w:shd w:val="clear" w:color="auto" w:fill="auto"/>
            <w:vAlign w:val="center"/>
          </w:tcPr>
          <w:p w14:paraId="318D410F"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lastRenderedPageBreak/>
              <w:t>14</w:t>
            </w:r>
          </w:p>
        </w:tc>
        <w:tc>
          <w:tcPr>
            <w:tcW w:w="0" w:type="auto"/>
            <w:tcBorders>
              <w:top w:val="nil"/>
              <w:left w:val="nil"/>
              <w:bottom w:val="single" w:sz="4" w:space="0" w:color="000000"/>
              <w:right w:val="single" w:sz="4" w:space="0" w:color="000000"/>
            </w:tcBorders>
            <w:shd w:val="clear" w:color="auto" w:fill="FFC000"/>
            <w:vAlign w:val="center"/>
          </w:tcPr>
          <w:p w14:paraId="1305B7F1"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Acceso al empleo pleno, digno y productivo</w:t>
            </w:r>
          </w:p>
        </w:tc>
        <w:tc>
          <w:tcPr>
            <w:tcW w:w="0" w:type="auto"/>
            <w:tcBorders>
              <w:top w:val="nil"/>
              <w:left w:val="nil"/>
              <w:bottom w:val="single" w:sz="4" w:space="0" w:color="000000"/>
              <w:right w:val="single" w:sz="4" w:space="0" w:color="000000"/>
            </w:tcBorders>
            <w:shd w:val="clear" w:color="auto" w:fill="auto"/>
            <w:vAlign w:val="center"/>
          </w:tcPr>
          <w:p w14:paraId="5D6E43B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6A286891"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2B407F82"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10. Acceso a mercados.</w:t>
            </w:r>
          </w:p>
        </w:tc>
        <w:tc>
          <w:tcPr>
            <w:tcW w:w="0" w:type="auto"/>
            <w:tcBorders>
              <w:top w:val="nil"/>
              <w:left w:val="nil"/>
              <w:bottom w:val="single" w:sz="4" w:space="0" w:color="000000"/>
              <w:right w:val="single" w:sz="4" w:space="0" w:color="000000"/>
            </w:tcBorders>
            <w:shd w:val="clear" w:color="auto" w:fill="auto"/>
            <w:vAlign w:val="center"/>
          </w:tcPr>
          <w:p w14:paraId="6468693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PR10.- Mejorar las condiciones de empleabilidad de los diversos segmentos de la población en </w:t>
            </w:r>
            <w:proofErr w:type="spellStart"/>
            <w:r>
              <w:rPr>
                <w:rFonts w:ascii="Arial" w:eastAsia="Arial" w:hAnsi="Arial" w:cs="Arial"/>
                <w:color w:val="000000"/>
                <w:sz w:val="16"/>
                <w:szCs w:val="16"/>
              </w:rPr>
              <w:t>concertacion</w:t>
            </w:r>
            <w:proofErr w:type="spellEnd"/>
            <w:r>
              <w:rPr>
                <w:rFonts w:ascii="Arial" w:eastAsia="Arial" w:hAnsi="Arial" w:cs="Arial"/>
                <w:color w:val="000000"/>
                <w:sz w:val="16"/>
                <w:szCs w:val="16"/>
              </w:rPr>
              <w:t xml:space="preserve"> con otros sectores estatales y privados</w:t>
            </w:r>
          </w:p>
        </w:tc>
        <w:tc>
          <w:tcPr>
            <w:tcW w:w="0" w:type="auto"/>
            <w:tcBorders>
              <w:top w:val="nil"/>
              <w:left w:val="nil"/>
              <w:bottom w:val="single" w:sz="4" w:space="0" w:color="000000"/>
              <w:right w:val="single" w:sz="4" w:space="0" w:color="000000"/>
            </w:tcBorders>
            <w:shd w:val="clear" w:color="auto" w:fill="auto"/>
            <w:vAlign w:val="center"/>
          </w:tcPr>
          <w:p w14:paraId="1499CF7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6BB878DE"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24E6BB57" w14:textId="77777777" w:rsidTr="00097513">
        <w:trPr>
          <w:trHeight w:val="166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242698AB"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18</w:t>
            </w:r>
          </w:p>
        </w:tc>
        <w:tc>
          <w:tcPr>
            <w:tcW w:w="0" w:type="auto"/>
            <w:vMerge w:val="restart"/>
            <w:tcBorders>
              <w:top w:val="nil"/>
              <w:left w:val="single" w:sz="4" w:space="0" w:color="000000"/>
              <w:bottom w:val="single" w:sz="4" w:space="0" w:color="000000"/>
              <w:right w:val="single" w:sz="4" w:space="0" w:color="000000"/>
            </w:tcBorders>
            <w:shd w:val="clear" w:color="auto" w:fill="FFC000"/>
            <w:vAlign w:val="center"/>
          </w:tcPr>
          <w:p w14:paraId="77BB990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Búsqueda de la competitividad, Productividad y formalización de la actividad económica</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72E9C71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0D882783"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3B6071D4"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4. Infraestructura y tecnificación del riego.</w:t>
            </w:r>
          </w:p>
        </w:tc>
        <w:tc>
          <w:tcPr>
            <w:tcW w:w="0" w:type="auto"/>
            <w:tcBorders>
              <w:top w:val="nil"/>
              <w:left w:val="nil"/>
              <w:bottom w:val="single" w:sz="4" w:space="0" w:color="000000"/>
              <w:right w:val="single" w:sz="4" w:space="0" w:color="000000"/>
            </w:tcBorders>
            <w:shd w:val="clear" w:color="auto" w:fill="auto"/>
            <w:vAlign w:val="center"/>
          </w:tcPr>
          <w:p w14:paraId="7DFBB66B"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3C920FF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4A7C7D7B"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24328597" w14:textId="77777777" w:rsidTr="00097513">
        <w:trPr>
          <w:trHeight w:val="1605"/>
        </w:trPr>
        <w:tc>
          <w:tcPr>
            <w:tcW w:w="0" w:type="auto"/>
            <w:vMerge/>
            <w:tcBorders>
              <w:top w:val="nil"/>
              <w:left w:val="single" w:sz="4" w:space="0" w:color="000000"/>
              <w:bottom w:val="single" w:sz="4" w:space="0" w:color="000000"/>
              <w:right w:val="single" w:sz="4" w:space="0" w:color="000000"/>
            </w:tcBorders>
          </w:tcPr>
          <w:p w14:paraId="42ADC269"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1F080CC4"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12DE6DC8"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7A265C6E"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2CB4F2CE"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9. Reconversión productiva y diversificación.</w:t>
            </w:r>
          </w:p>
        </w:tc>
        <w:tc>
          <w:tcPr>
            <w:tcW w:w="0" w:type="auto"/>
            <w:tcBorders>
              <w:top w:val="nil"/>
              <w:left w:val="nil"/>
              <w:bottom w:val="single" w:sz="4" w:space="0" w:color="000000"/>
              <w:right w:val="single" w:sz="4" w:space="0" w:color="000000"/>
            </w:tcBorders>
            <w:shd w:val="clear" w:color="auto" w:fill="auto"/>
            <w:vAlign w:val="center"/>
          </w:tcPr>
          <w:p w14:paraId="34D392A4"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33AD743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204F7B1B"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1121EE2D" w14:textId="77777777" w:rsidTr="00097513">
        <w:trPr>
          <w:trHeight w:val="1155"/>
        </w:trPr>
        <w:tc>
          <w:tcPr>
            <w:tcW w:w="0" w:type="auto"/>
            <w:vMerge/>
            <w:tcBorders>
              <w:top w:val="nil"/>
              <w:left w:val="single" w:sz="4" w:space="0" w:color="000000"/>
              <w:bottom w:val="single" w:sz="4" w:space="0" w:color="000000"/>
              <w:right w:val="single" w:sz="4" w:space="0" w:color="000000"/>
            </w:tcBorders>
          </w:tcPr>
          <w:p w14:paraId="413BAFF9"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29DAAD30"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4532DA16"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4AE55B0E"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5BE2F27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2C7D8D6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PR8.- Mejorar la conectividad vial en infraestructura</w:t>
            </w:r>
          </w:p>
        </w:tc>
        <w:tc>
          <w:tcPr>
            <w:tcW w:w="0" w:type="auto"/>
            <w:tcBorders>
              <w:top w:val="nil"/>
              <w:left w:val="nil"/>
              <w:bottom w:val="single" w:sz="4" w:space="0" w:color="000000"/>
              <w:right w:val="single" w:sz="4" w:space="0" w:color="000000"/>
            </w:tcBorders>
            <w:shd w:val="clear" w:color="auto" w:fill="auto"/>
            <w:vAlign w:val="center"/>
          </w:tcPr>
          <w:p w14:paraId="67A6D37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5. Mejorar la integración regional vial y de comunicaciones, con enfoque de corredores logísticos, consolidando ciudades sostenibles. </w:t>
            </w:r>
          </w:p>
        </w:tc>
        <w:tc>
          <w:tcPr>
            <w:tcW w:w="1695" w:type="dxa"/>
            <w:tcBorders>
              <w:top w:val="nil"/>
              <w:left w:val="nil"/>
              <w:bottom w:val="single" w:sz="4" w:space="0" w:color="000000"/>
              <w:right w:val="single" w:sz="4" w:space="0" w:color="000000"/>
            </w:tcBorders>
            <w:shd w:val="clear" w:color="auto" w:fill="F8CBAD"/>
            <w:vAlign w:val="center"/>
          </w:tcPr>
          <w:p w14:paraId="060BE37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0CCA982E" w14:textId="77777777" w:rsidTr="00097513">
        <w:trPr>
          <w:trHeight w:val="1815"/>
        </w:trPr>
        <w:tc>
          <w:tcPr>
            <w:tcW w:w="0" w:type="auto"/>
            <w:vMerge/>
            <w:tcBorders>
              <w:top w:val="nil"/>
              <w:left w:val="single" w:sz="4" w:space="0" w:color="000000"/>
              <w:bottom w:val="single" w:sz="4" w:space="0" w:color="000000"/>
              <w:right w:val="single" w:sz="4" w:space="0" w:color="000000"/>
            </w:tcBorders>
          </w:tcPr>
          <w:p w14:paraId="5DBAF2B0"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67FD2892"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760A52AF"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05130820"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462B738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0BFC4CA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PR5.- Promover los servicios turísticos y gastronómicos.</w:t>
            </w:r>
          </w:p>
        </w:tc>
        <w:tc>
          <w:tcPr>
            <w:tcW w:w="0" w:type="auto"/>
            <w:tcBorders>
              <w:top w:val="nil"/>
              <w:left w:val="nil"/>
              <w:bottom w:val="single" w:sz="4" w:space="0" w:color="000000"/>
              <w:right w:val="single" w:sz="4" w:space="0" w:color="000000"/>
            </w:tcBorders>
            <w:shd w:val="clear" w:color="auto" w:fill="auto"/>
            <w:vAlign w:val="center"/>
          </w:tcPr>
          <w:p w14:paraId="69155C23"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737C90C4"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34335515" w14:textId="77777777" w:rsidTr="00097513">
        <w:trPr>
          <w:trHeight w:val="2773"/>
        </w:trPr>
        <w:tc>
          <w:tcPr>
            <w:tcW w:w="0" w:type="auto"/>
            <w:vMerge/>
            <w:tcBorders>
              <w:top w:val="nil"/>
              <w:left w:val="single" w:sz="4" w:space="0" w:color="000000"/>
              <w:bottom w:val="single" w:sz="4" w:space="0" w:color="000000"/>
              <w:right w:val="single" w:sz="4" w:space="0" w:color="000000"/>
            </w:tcBorders>
          </w:tcPr>
          <w:p w14:paraId="533CE29E"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61CEB34B"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51C133AA" w14:textId="77777777" w:rsidR="00B50826" w:rsidRDefault="00B50826"/>
        </w:tc>
        <w:tc>
          <w:tcPr>
            <w:tcW w:w="0" w:type="auto"/>
            <w:tcBorders>
              <w:top w:val="nil"/>
              <w:left w:val="nil"/>
              <w:bottom w:val="single" w:sz="4" w:space="0" w:color="000000"/>
              <w:right w:val="single" w:sz="4" w:space="0" w:color="000000"/>
            </w:tcBorders>
            <w:shd w:val="clear" w:color="auto" w:fill="auto"/>
            <w:vAlign w:val="center"/>
          </w:tcPr>
          <w:p w14:paraId="7BE7DE6A"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094C8AA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58703C80"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PR6.- Apoyar la mejora productiva de las Micro, Pequeña y Mediana empresa urbana y rural promoviendo su capitalización y diversificación productiva.</w:t>
            </w:r>
          </w:p>
        </w:tc>
        <w:tc>
          <w:tcPr>
            <w:tcW w:w="0" w:type="auto"/>
            <w:tcBorders>
              <w:top w:val="nil"/>
              <w:left w:val="nil"/>
              <w:bottom w:val="single" w:sz="4" w:space="0" w:color="000000"/>
              <w:right w:val="single" w:sz="4" w:space="0" w:color="000000"/>
            </w:tcBorders>
            <w:shd w:val="clear" w:color="auto" w:fill="auto"/>
            <w:vAlign w:val="center"/>
          </w:tcPr>
          <w:p w14:paraId="64CDE2C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4982A651"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4C401728" w14:textId="77777777" w:rsidTr="00097513">
        <w:trPr>
          <w:trHeight w:val="1800"/>
        </w:trPr>
        <w:tc>
          <w:tcPr>
            <w:tcW w:w="0" w:type="auto"/>
            <w:tcBorders>
              <w:top w:val="nil"/>
              <w:left w:val="single" w:sz="4" w:space="0" w:color="000000"/>
              <w:bottom w:val="single" w:sz="4" w:space="0" w:color="000000"/>
              <w:right w:val="single" w:sz="4" w:space="0" w:color="000000"/>
            </w:tcBorders>
            <w:shd w:val="clear" w:color="auto" w:fill="auto"/>
            <w:vAlign w:val="center"/>
          </w:tcPr>
          <w:p w14:paraId="3053D06F"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20</w:t>
            </w:r>
          </w:p>
        </w:tc>
        <w:tc>
          <w:tcPr>
            <w:tcW w:w="0" w:type="auto"/>
            <w:tcBorders>
              <w:top w:val="nil"/>
              <w:left w:val="nil"/>
              <w:bottom w:val="single" w:sz="4" w:space="0" w:color="000000"/>
              <w:right w:val="single" w:sz="4" w:space="0" w:color="000000"/>
            </w:tcBorders>
            <w:shd w:val="clear" w:color="auto" w:fill="FFC000"/>
            <w:vAlign w:val="center"/>
          </w:tcPr>
          <w:p w14:paraId="1A7008F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Desarrollo de la ciencia y la tecnología</w:t>
            </w:r>
          </w:p>
        </w:tc>
        <w:tc>
          <w:tcPr>
            <w:tcW w:w="0" w:type="auto"/>
            <w:tcBorders>
              <w:top w:val="nil"/>
              <w:left w:val="nil"/>
              <w:bottom w:val="single" w:sz="4" w:space="0" w:color="000000"/>
              <w:right w:val="single" w:sz="4" w:space="0" w:color="000000"/>
            </w:tcBorders>
            <w:shd w:val="clear" w:color="auto" w:fill="auto"/>
            <w:vAlign w:val="center"/>
          </w:tcPr>
          <w:p w14:paraId="5713DE7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304B528E"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54AACFB3"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6. Innovación y tecnificación agraria</w:t>
            </w:r>
          </w:p>
        </w:tc>
        <w:tc>
          <w:tcPr>
            <w:tcW w:w="0" w:type="auto"/>
            <w:tcBorders>
              <w:top w:val="nil"/>
              <w:left w:val="nil"/>
              <w:bottom w:val="single" w:sz="4" w:space="0" w:color="000000"/>
              <w:right w:val="single" w:sz="4" w:space="0" w:color="000000"/>
            </w:tcBorders>
            <w:shd w:val="clear" w:color="auto" w:fill="auto"/>
            <w:vAlign w:val="center"/>
          </w:tcPr>
          <w:p w14:paraId="37EEF61F"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6564D2E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67FC11B4"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1804E2F6" w14:textId="77777777" w:rsidTr="00097513">
        <w:trPr>
          <w:trHeight w:val="1680"/>
        </w:trPr>
        <w:tc>
          <w:tcPr>
            <w:tcW w:w="0" w:type="auto"/>
            <w:tcBorders>
              <w:top w:val="nil"/>
              <w:left w:val="single" w:sz="4" w:space="0" w:color="000000"/>
              <w:bottom w:val="single" w:sz="4" w:space="0" w:color="000000"/>
              <w:right w:val="single" w:sz="4" w:space="0" w:color="000000"/>
            </w:tcBorders>
            <w:shd w:val="clear" w:color="auto" w:fill="auto"/>
            <w:vAlign w:val="center"/>
          </w:tcPr>
          <w:p w14:paraId="51C54188"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23</w:t>
            </w:r>
          </w:p>
        </w:tc>
        <w:tc>
          <w:tcPr>
            <w:tcW w:w="0" w:type="auto"/>
            <w:tcBorders>
              <w:top w:val="nil"/>
              <w:left w:val="nil"/>
              <w:bottom w:val="single" w:sz="4" w:space="0" w:color="000000"/>
              <w:right w:val="single" w:sz="4" w:space="0" w:color="000000"/>
            </w:tcBorders>
            <w:shd w:val="clear" w:color="auto" w:fill="FFC000"/>
            <w:vAlign w:val="center"/>
          </w:tcPr>
          <w:p w14:paraId="176FDCBE"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Política de desarrollo agrario y rural</w:t>
            </w:r>
          </w:p>
        </w:tc>
        <w:tc>
          <w:tcPr>
            <w:tcW w:w="0" w:type="auto"/>
            <w:tcBorders>
              <w:top w:val="nil"/>
              <w:left w:val="nil"/>
              <w:bottom w:val="single" w:sz="4" w:space="0" w:color="000000"/>
              <w:right w:val="single" w:sz="4" w:space="0" w:color="000000"/>
            </w:tcBorders>
            <w:shd w:val="clear" w:color="auto" w:fill="auto"/>
            <w:vAlign w:val="center"/>
          </w:tcPr>
          <w:p w14:paraId="397432C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39CDAAC7"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221D7900"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5. Financiamiento y seguro agrario.</w:t>
            </w:r>
          </w:p>
        </w:tc>
        <w:tc>
          <w:tcPr>
            <w:tcW w:w="0" w:type="auto"/>
            <w:tcBorders>
              <w:top w:val="nil"/>
              <w:left w:val="nil"/>
              <w:bottom w:val="single" w:sz="4" w:space="0" w:color="000000"/>
              <w:right w:val="single" w:sz="4" w:space="0" w:color="000000"/>
            </w:tcBorders>
            <w:shd w:val="clear" w:color="auto" w:fill="auto"/>
            <w:vAlign w:val="center"/>
          </w:tcPr>
          <w:p w14:paraId="5FB7AD45"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PR9.- Fortalecimiento de la agricultura familiar y diversificación de las pequeñas unidades de producción rural.</w:t>
            </w:r>
          </w:p>
        </w:tc>
        <w:tc>
          <w:tcPr>
            <w:tcW w:w="0" w:type="auto"/>
            <w:tcBorders>
              <w:top w:val="nil"/>
              <w:left w:val="nil"/>
              <w:bottom w:val="single" w:sz="4" w:space="0" w:color="000000"/>
              <w:right w:val="single" w:sz="4" w:space="0" w:color="000000"/>
            </w:tcBorders>
            <w:shd w:val="clear" w:color="auto" w:fill="auto"/>
            <w:vAlign w:val="center"/>
          </w:tcPr>
          <w:p w14:paraId="247F19B8"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F8CBAD"/>
            <w:vAlign w:val="center"/>
          </w:tcPr>
          <w:p w14:paraId="3B0A5FA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Contribuir en el Incremento de la competitividad de las principales cadenas productivas del territorio de manera económica, social y ambientalmente sostenible.</w:t>
            </w:r>
          </w:p>
        </w:tc>
      </w:tr>
      <w:tr w:rsidR="00B50826" w14:paraId="694A02BB" w14:textId="77777777" w:rsidTr="00097513">
        <w:trPr>
          <w:trHeight w:val="202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0E83C7EB"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lastRenderedPageBreak/>
              <w:t>19</w:t>
            </w:r>
          </w:p>
        </w:tc>
        <w:tc>
          <w:tcPr>
            <w:tcW w:w="0" w:type="auto"/>
            <w:vMerge w:val="restart"/>
            <w:tcBorders>
              <w:top w:val="nil"/>
              <w:left w:val="single" w:sz="4" w:space="0" w:color="000000"/>
              <w:bottom w:val="single" w:sz="4" w:space="0" w:color="000000"/>
              <w:right w:val="single" w:sz="4" w:space="0" w:color="000000"/>
            </w:tcBorders>
            <w:shd w:val="clear" w:color="auto" w:fill="006600"/>
            <w:vAlign w:val="center"/>
          </w:tcPr>
          <w:p w14:paraId="70993FF6"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Desarrollo sostenible y gestión ambiental</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tcPr>
          <w:p w14:paraId="4237A60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92D050"/>
            <w:vAlign w:val="center"/>
          </w:tcPr>
          <w:p w14:paraId="6BE9E091"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Conservación y aprovechamiento sostenible de los recursos naturales y de la diversidad biológica</w:t>
            </w:r>
          </w:p>
        </w:tc>
        <w:tc>
          <w:tcPr>
            <w:tcW w:w="0" w:type="auto"/>
            <w:tcBorders>
              <w:top w:val="nil"/>
              <w:left w:val="nil"/>
              <w:bottom w:val="single" w:sz="4" w:space="0" w:color="000000"/>
              <w:right w:val="single" w:sz="4" w:space="0" w:color="000000"/>
            </w:tcBorders>
            <w:shd w:val="clear" w:color="auto" w:fill="CCFF33"/>
            <w:vAlign w:val="center"/>
          </w:tcPr>
          <w:p w14:paraId="0658FC16"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2. Desarrollo forestal y de fauna silvestre</w:t>
            </w:r>
          </w:p>
        </w:tc>
        <w:tc>
          <w:tcPr>
            <w:tcW w:w="0" w:type="auto"/>
            <w:tcBorders>
              <w:top w:val="nil"/>
              <w:left w:val="nil"/>
              <w:bottom w:val="single" w:sz="4" w:space="0" w:color="000000"/>
              <w:right w:val="single" w:sz="4" w:space="0" w:color="000000"/>
            </w:tcBorders>
            <w:shd w:val="clear" w:color="auto" w:fill="auto"/>
            <w:vAlign w:val="center"/>
          </w:tcPr>
          <w:p w14:paraId="1ECB9091"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PR13.- Fomentar el uso y aprovechamiento sostenible de los recursos naturales.</w:t>
            </w:r>
          </w:p>
        </w:tc>
        <w:tc>
          <w:tcPr>
            <w:tcW w:w="0" w:type="auto"/>
            <w:tcBorders>
              <w:top w:val="nil"/>
              <w:left w:val="nil"/>
              <w:bottom w:val="single" w:sz="4" w:space="0" w:color="000000"/>
              <w:right w:val="single" w:sz="4" w:space="0" w:color="000000"/>
            </w:tcBorders>
            <w:shd w:val="clear" w:color="auto" w:fill="auto"/>
            <w:vAlign w:val="center"/>
          </w:tcPr>
          <w:p w14:paraId="0275C37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7. Conservar el ambiente, priorizando la protección de ecosistemas degradados, así como generando un aprovechamiento sostenible adecuado.</w:t>
            </w:r>
          </w:p>
        </w:tc>
        <w:tc>
          <w:tcPr>
            <w:tcW w:w="1695" w:type="dxa"/>
            <w:tcBorders>
              <w:top w:val="nil"/>
              <w:left w:val="nil"/>
              <w:bottom w:val="single" w:sz="4" w:space="0" w:color="000000"/>
              <w:right w:val="single" w:sz="4" w:space="0" w:color="000000"/>
            </w:tcBorders>
            <w:shd w:val="clear" w:color="auto" w:fill="006600"/>
            <w:vAlign w:val="center"/>
          </w:tcPr>
          <w:p w14:paraId="7AD8C6A8"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2. Promover la plena y armoniosa participación de la población rural, en el aprovechamiento sostenible de los recursos naturales y una adecuada gestión ambiental, respetando las leyes y formas de vida del territorio.</w:t>
            </w:r>
          </w:p>
        </w:tc>
      </w:tr>
      <w:tr w:rsidR="00B50826" w14:paraId="33E33D9F" w14:textId="77777777" w:rsidTr="00097513">
        <w:trPr>
          <w:trHeight w:val="2711"/>
        </w:trPr>
        <w:tc>
          <w:tcPr>
            <w:tcW w:w="0" w:type="auto"/>
            <w:vMerge/>
            <w:tcBorders>
              <w:top w:val="nil"/>
              <w:left w:val="single" w:sz="4" w:space="0" w:color="000000"/>
              <w:bottom w:val="single" w:sz="4" w:space="0" w:color="000000"/>
              <w:right w:val="single" w:sz="4" w:space="0" w:color="000000"/>
            </w:tcBorders>
          </w:tcPr>
          <w:p w14:paraId="5757BFD6"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5C6750E7"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029797CC" w14:textId="77777777" w:rsidR="00B50826" w:rsidRDefault="00B50826"/>
        </w:tc>
        <w:tc>
          <w:tcPr>
            <w:tcW w:w="0" w:type="auto"/>
            <w:tcBorders>
              <w:top w:val="nil"/>
              <w:left w:val="nil"/>
              <w:bottom w:val="single" w:sz="4" w:space="0" w:color="000000"/>
              <w:right w:val="single" w:sz="4" w:space="0" w:color="000000"/>
            </w:tcBorders>
            <w:shd w:val="clear" w:color="auto" w:fill="92D050"/>
            <w:vAlign w:val="center"/>
          </w:tcPr>
          <w:p w14:paraId="0CA7137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Gestión Integral de la calidad ambiental</w:t>
            </w:r>
          </w:p>
        </w:tc>
        <w:tc>
          <w:tcPr>
            <w:tcW w:w="0" w:type="auto"/>
            <w:tcBorders>
              <w:top w:val="nil"/>
              <w:left w:val="nil"/>
              <w:bottom w:val="single" w:sz="4" w:space="0" w:color="000000"/>
              <w:right w:val="single" w:sz="4" w:space="0" w:color="000000"/>
            </w:tcBorders>
            <w:shd w:val="clear" w:color="auto" w:fill="auto"/>
            <w:vAlign w:val="center"/>
          </w:tcPr>
          <w:p w14:paraId="00A2E2CD"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03E394C7"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PR12.- Mejorar la </w:t>
            </w:r>
            <w:proofErr w:type="spellStart"/>
            <w:r>
              <w:rPr>
                <w:rFonts w:ascii="Arial" w:eastAsia="Arial" w:hAnsi="Arial" w:cs="Arial"/>
                <w:color w:val="000000"/>
                <w:sz w:val="16"/>
                <w:szCs w:val="16"/>
              </w:rPr>
              <w:t>Gestion</w:t>
            </w:r>
            <w:proofErr w:type="spellEnd"/>
            <w:r>
              <w:rPr>
                <w:rFonts w:ascii="Arial" w:eastAsia="Arial" w:hAnsi="Arial" w:cs="Arial"/>
                <w:color w:val="000000"/>
                <w:sz w:val="16"/>
                <w:szCs w:val="16"/>
              </w:rPr>
              <w:t xml:space="preserve"> Ambiental Regional.</w:t>
            </w:r>
          </w:p>
        </w:tc>
        <w:tc>
          <w:tcPr>
            <w:tcW w:w="0" w:type="auto"/>
            <w:tcBorders>
              <w:top w:val="nil"/>
              <w:left w:val="nil"/>
              <w:bottom w:val="single" w:sz="4" w:space="0" w:color="000000"/>
              <w:right w:val="single" w:sz="4" w:space="0" w:color="000000"/>
            </w:tcBorders>
            <w:shd w:val="clear" w:color="auto" w:fill="auto"/>
            <w:vAlign w:val="center"/>
          </w:tcPr>
          <w:p w14:paraId="4CCF575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7. Conservar el ambiente, priorizando la protección de ecosistemas degradados, así como generando un aprovechamiento sostenible adecuado.</w:t>
            </w:r>
          </w:p>
        </w:tc>
        <w:tc>
          <w:tcPr>
            <w:tcW w:w="1695" w:type="dxa"/>
            <w:tcBorders>
              <w:top w:val="nil"/>
              <w:left w:val="nil"/>
              <w:bottom w:val="single" w:sz="4" w:space="0" w:color="000000"/>
              <w:right w:val="single" w:sz="4" w:space="0" w:color="000000"/>
            </w:tcBorders>
            <w:shd w:val="clear" w:color="auto" w:fill="006600"/>
            <w:vAlign w:val="center"/>
          </w:tcPr>
          <w:p w14:paraId="49574447"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2. Promover la plena y armoniosa participación de la población rural, en el aprovechamiento sostenible de los recursos naturales y una adecuada gestión ambiental, respetando las leyes y formas de vida del territorio.</w:t>
            </w:r>
          </w:p>
        </w:tc>
      </w:tr>
      <w:tr w:rsidR="00B50826" w14:paraId="405B8CD8" w14:textId="77777777" w:rsidTr="00097513">
        <w:trPr>
          <w:trHeight w:val="1920"/>
        </w:trPr>
        <w:tc>
          <w:tcPr>
            <w:tcW w:w="0" w:type="auto"/>
            <w:vMerge/>
            <w:tcBorders>
              <w:top w:val="nil"/>
              <w:left w:val="single" w:sz="4" w:space="0" w:color="000000"/>
              <w:bottom w:val="single" w:sz="4" w:space="0" w:color="000000"/>
              <w:right w:val="single" w:sz="4" w:space="0" w:color="000000"/>
            </w:tcBorders>
          </w:tcPr>
          <w:p w14:paraId="2FBFD0D5"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6CBB4D93" w14:textId="77777777" w:rsidR="00B50826" w:rsidRDefault="00B50826"/>
        </w:tc>
        <w:tc>
          <w:tcPr>
            <w:tcW w:w="0" w:type="auto"/>
            <w:vMerge/>
            <w:tcBorders>
              <w:top w:val="nil"/>
              <w:left w:val="single" w:sz="4" w:space="0" w:color="000000"/>
              <w:bottom w:val="single" w:sz="4" w:space="0" w:color="000000"/>
              <w:right w:val="single" w:sz="4" w:space="0" w:color="000000"/>
            </w:tcBorders>
          </w:tcPr>
          <w:p w14:paraId="689BE434" w14:textId="77777777" w:rsidR="00B50826" w:rsidRDefault="00B50826"/>
        </w:tc>
        <w:tc>
          <w:tcPr>
            <w:tcW w:w="0" w:type="auto"/>
            <w:tcBorders>
              <w:top w:val="nil"/>
              <w:left w:val="nil"/>
              <w:bottom w:val="single" w:sz="4" w:space="0" w:color="000000"/>
              <w:right w:val="single" w:sz="4" w:space="0" w:color="000000"/>
            </w:tcBorders>
            <w:shd w:val="clear" w:color="auto" w:fill="92D050"/>
            <w:vAlign w:val="center"/>
          </w:tcPr>
          <w:p w14:paraId="3F8E9CF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Compromisos y oportunidades ambientales internacionales</w:t>
            </w:r>
          </w:p>
        </w:tc>
        <w:tc>
          <w:tcPr>
            <w:tcW w:w="0" w:type="auto"/>
            <w:tcBorders>
              <w:top w:val="nil"/>
              <w:left w:val="nil"/>
              <w:bottom w:val="single" w:sz="4" w:space="0" w:color="000000"/>
              <w:right w:val="single" w:sz="4" w:space="0" w:color="000000"/>
            </w:tcBorders>
            <w:shd w:val="clear" w:color="auto" w:fill="auto"/>
            <w:vAlign w:val="center"/>
          </w:tcPr>
          <w:p w14:paraId="5D29B103"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237899C8"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64B05164"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7. Conservar el ambiente, priorizando la protección de ecosistemas degradados, así como generando un aprovechamiento sostenible adecuado.</w:t>
            </w:r>
          </w:p>
        </w:tc>
        <w:tc>
          <w:tcPr>
            <w:tcW w:w="1695" w:type="dxa"/>
            <w:tcBorders>
              <w:top w:val="nil"/>
              <w:left w:val="nil"/>
              <w:bottom w:val="single" w:sz="4" w:space="0" w:color="000000"/>
              <w:right w:val="single" w:sz="4" w:space="0" w:color="000000"/>
            </w:tcBorders>
            <w:shd w:val="clear" w:color="auto" w:fill="006600"/>
            <w:vAlign w:val="center"/>
          </w:tcPr>
          <w:p w14:paraId="5B2F4AF5"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2. Promover la plena y armoniosa participación de la población rural, en el aprovechamiento sostenible de los recursos naturales y una adecuada gestión ambiental, respetando las leyes y formas de vida del territorio.</w:t>
            </w:r>
          </w:p>
        </w:tc>
      </w:tr>
      <w:tr w:rsidR="00B50826" w14:paraId="2E782151" w14:textId="77777777" w:rsidTr="00097513">
        <w:trPr>
          <w:trHeight w:val="2469"/>
        </w:trPr>
        <w:tc>
          <w:tcPr>
            <w:tcW w:w="0" w:type="auto"/>
            <w:tcBorders>
              <w:top w:val="nil"/>
              <w:left w:val="single" w:sz="4" w:space="0" w:color="000000"/>
              <w:bottom w:val="single" w:sz="4" w:space="0" w:color="000000"/>
              <w:right w:val="single" w:sz="4" w:space="0" w:color="000000"/>
            </w:tcBorders>
            <w:shd w:val="clear" w:color="auto" w:fill="auto"/>
            <w:vAlign w:val="center"/>
          </w:tcPr>
          <w:p w14:paraId="13370D44"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32</w:t>
            </w:r>
          </w:p>
        </w:tc>
        <w:tc>
          <w:tcPr>
            <w:tcW w:w="0" w:type="auto"/>
            <w:tcBorders>
              <w:top w:val="nil"/>
              <w:left w:val="nil"/>
              <w:bottom w:val="single" w:sz="4" w:space="0" w:color="000000"/>
              <w:right w:val="single" w:sz="4" w:space="0" w:color="000000"/>
            </w:tcBorders>
            <w:shd w:val="clear" w:color="auto" w:fill="006600"/>
            <w:vAlign w:val="center"/>
          </w:tcPr>
          <w:p w14:paraId="4204B887"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Gestión del riesgo de desastres</w:t>
            </w:r>
          </w:p>
        </w:tc>
        <w:tc>
          <w:tcPr>
            <w:tcW w:w="0" w:type="auto"/>
            <w:tcBorders>
              <w:top w:val="nil"/>
              <w:left w:val="nil"/>
              <w:bottom w:val="single" w:sz="4" w:space="0" w:color="000000"/>
              <w:right w:val="single" w:sz="4" w:space="0" w:color="000000"/>
            </w:tcBorders>
            <w:shd w:val="clear" w:color="auto" w:fill="auto"/>
            <w:vAlign w:val="center"/>
          </w:tcPr>
          <w:p w14:paraId="4A27F02E"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7935E614"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23C89783"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7. Gestión de riesgo de desastres en el sector agrario.</w:t>
            </w:r>
          </w:p>
        </w:tc>
        <w:tc>
          <w:tcPr>
            <w:tcW w:w="0" w:type="auto"/>
            <w:tcBorders>
              <w:top w:val="nil"/>
              <w:left w:val="nil"/>
              <w:bottom w:val="single" w:sz="4" w:space="0" w:color="000000"/>
              <w:right w:val="single" w:sz="4" w:space="0" w:color="000000"/>
            </w:tcBorders>
            <w:shd w:val="clear" w:color="auto" w:fill="FFFFFF"/>
            <w:vAlign w:val="center"/>
          </w:tcPr>
          <w:p w14:paraId="61693502"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PR14.- Implementar planes y programas integrados de </w:t>
            </w:r>
            <w:proofErr w:type="spellStart"/>
            <w:r>
              <w:rPr>
                <w:rFonts w:ascii="Arial" w:eastAsia="Arial" w:hAnsi="Arial" w:cs="Arial"/>
                <w:color w:val="000000"/>
                <w:sz w:val="16"/>
                <w:szCs w:val="16"/>
              </w:rPr>
              <w:t>gestón</w:t>
            </w:r>
            <w:proofErr w:type="spellEnd"/>
            <w:r>
              <w:rPr>
                <w:rFonts w:ascii="Arial" w:eastAsia="Arial" w:hAnsi="Arial" w:cs="Arial"/>
                <w:color w:val="000000"/>
                <w:sz w:val="16"/>
                <w:szCs w:val="16"/>
              </w:rPr>
              <w:t xml:space="preserve"> para la </w:t>
            </w:r>
            <w:proofErr w:type="spellStart"/>
            <w:r>
              <w:rPr>
                <w:rFonts w:ascii="Arial" w:eastAsia="Arial" w:hAnsi="Arial" w:cs="Arial"/>
                <w:color w:val="000000"/>
                <w:sz w:val="16"/>
                <w:szCs w:val="16"/>
              </w:rPr>
              <w:t>reduccion</w:t>
            </w:r>
            <w:proofErr w:type="spellEnd"/>
            <w:r>
              <w:rPr>
                <w:rFonts w:ascii="Arial" w:eastAsia="Arial" w:hAnsi="Arial" w:cs="Arial"/>
                <w:color w:val="000000"/>
                <w:sz w:val="16"/>
                <w:szCs w:val="16"/>
              </w:rPr>
              <w:t xml:space="preserve"> de riesgos de desastres.</w:t>
            </w:r>
          </w:p>
        </w:tc>
        <w:tc>
          <w:tcPr>
            <w:tcW w:w="0" w:type="auto"/>
            <w:tcBorders>
              <w:top w:val="nil"/>
              <w:left w:val="nil"/>
              <w:bottom w:val="single" w:sz="4" w:space="0" w:color="000000"/>
              <w:right w:val="single" w:sz="4" w:space="0" w:color="000000"/>
            </w:tcBorders>
            <w:shd w:val="clear" w:color="auto" w:fill="auto"/>
            <w:vAlign w:val="center"/>
          </w:tcPr>
          <w:p w14:paraId="1C238551"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8. Fortalecer la articulación interinstitucional entre los niveles de gobierno para una adecuada gestión de riesgo de desastres y adaptación al cambio climático, enfatizando las acciones de prevención.</w:t>
            </w:r>
          </w:p>
        </w:tc>
        <w:tc>
          <w:tcPr>
            <w:tcW w:w="1695" w:type="dxa"/>
            <w:tcBorders>
              <w:top w:val="nil"/>
              <w:left w:val="nil"/>
              <w:bottom w:val="single" w:sz="4" w:space="0" w:color="000000"/>
              <w:right w:val="single" w:sz="4" w:space="0" w:color="000000"/>
            </w:tcBorders>
            <w:shd w:val="clear" w:color="auto" w:fill="006600"/>
            <w:vAlign w:val="center"/>
          </w:tcPr>
          <w:p w14:paraId="19BE2402"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2. Promover la plena y armoniosa participación de la población rural, en el aprovechamiento sostenible de los recursos naturales y una adecuada gestión ambiental, respetando las leyes y formas de vida del territorio.</w:t>
            </w:r>
          </w:p>
        </w:tc>
      </w:tr>
      <w:tr w:rsidR="00B50826" w14:paraId="7DE8860F" w14:textId="77777777" w:rsidTr="00097513">
        <w:trPr>
          <w:trHeight w:val="841"/>
        </w:trPr>
        <w:tc>
          <w:tcPr>
            <w:tcW w:w="0" w:type="auto"/>
            <w:tcBorders>
              <w:top w:val="nil"/>
              <w:left w:val="single" w:sz="4" w:space="0" w:color="000000"/>
              <w:bottom w:val="single" w:sz="4" w:space="0" w:color="000000"/>
              <w:right w:val="single" w:sz="4" w:space="0" w:color="000000"/>
            </w:tcBorders>
            <w:shd w:val="clear" w:color="auto" w:fill="auto"/>
            <w:vAlign w:val="center"/>
          </w:tcPr>
          <w:p w14:paraId="51A2E9EE"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t>33</w:t>
            </w:r>
          </w:p>
        </w:tc>
        <w:tc>
          <w:tcPr>
            <w:tcW w:w="0" w:type="auto"/>
            <w:tcBorders>
              <w:top w:val="nil"/>
              <w:left w:val="nil"/>
              <w:bottom w:val="single" w:sz="4" w:space="0" w:color="000000"/>
              <w:right w:val="single" w:sz="4" w:space="0" w:color="000000"/>
            </w:tcBorders>
            <w:shd w:val="clear" w:color="auto" w:fill="006600"/>
            <w:vAlign w:val="center"/>
          </w:tcPr>
          <w:p w14:paraId="71F53091"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Política de Estado sobre los recursos hídricos</w:t>
            </w:r>
          </w:p>
        </w:tc>
        <w:tc>
          <w:tcPr>
            <w:tcW w:w="0" w:type="auto"/>
            <w:tcBorders>
              <w:top w:val="nil"/>
              <w:left w:val="nil"/>
              <w:bottom w:val="single" w:sz="4" w:space="0" w:color="000000"/>
              <w:right w:val="single" w:sz="4" w:space="0" w:color="000000"/>
            </w:tcBorders>
            <w:shd w:val="clear" w:color="auto" w:fill="auto"/>
            <w:vAlign w:val="center"/>
          </w:tcPr>
          <w:p w14:paraId="66551419"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68F0F2CC"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CCFF33"/>
            <w:vAlign w:val="center"/>
          </w:tcPr>
          <w:p w14:paraId="7E9F75A4"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1. Manejo sostenible de agua y suelos</w:t>
            </w:r>
          </w:p>
        </w:tc>
        <w:tc>
          <w:tcPr>
            <w:tcW w:w="0" w:type="auto"/>
            <w:tcBorders>
              <w:top w:val="nil"/>
              <w:left w:val="nil"/>
              <w:bottom w:val="single" w:sz="4" w:space="0" w:color="000000"/>
              <w:right w:val="single" w:sz="4" w:space="0" w:color="000000"/>
            </w:tcBorders>
            <w:shd w:val="clear" w:color="auto" w:fill="auto"/>
            <w:vAlign w:val="center"/>
          </w:tcPr>
          <w:p w14:paraId="4671063F"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PR12.- Mejorar la </w:t>
            </w:r>
            <w:proofErr w:type="spellStart"/>
            <w:r>
              <w:rPr>
                <w:rFonts w:ascii="Arial" w:eastAsia="Arial" w:hAnsi="Arial" w:cs="Arial"/>
                <w:color w:val="000000"/>
                <w:sz w:val="16"/>
                <w:szCs w:val="16"/>
              </w:rPr>
              <w:t>Gestion</w:t>
            </w:r>
            <w:proofErr w:type="spellEnd"/>
            <w:r>
              <w:rPr>
                <w:rFonts w:ascii="Arial" w:eastAsia="Arial" w:hAnsi="Arial" w:cs="Arial"/>
                <w:color w:val="000000"/>
                <w:sz w:val="16"/>
                <w:szCs w:val="16"/>
              </w:rPr>
              <w:t xml:space="preserve"> Ambiental Regional.</w:t>
            </w:r>
          </w:p>
        </w:tc>
        <w:tc>
          <w:tcPr>
            <w:tcW w:w="0" w:type="auto"/>
            <w:tcBorders>
              <w:top w:val="nil"/>
              <w:left w:val="nil"/>
              <w:bottom w:val="single" w:sz="4" w:space="0" w:color="000000"/>
              <w:right w:val="single" w:sz="4" w:space="0" w:color="000000"/>
            </w:tcBorders>
            <w:shd w:val="clear" w:color="auto" w:fill="auto"/>
            <w:vAlign w:val="center"/>
          </w:tcPr>
          <w:p w14:paraId="7909677D"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7. Conservar el ambiente, priorizando la protección de ecosistemas degradados, así como generando un aprovechamiento sostenible adecuado.</w:t>
            </w:r>
          </w:p>
        </w:tc>
        <w:tc>
          <w:tcPr>
            <w:tcW w:w="1695" w:type="dxa"/>
            <w:tcBorders>
              <w:top w:val="nil"/>
              <w:left w:val="nil"/>
              <w:bottom w:val="single" w:sz="4" w:space="0" w:color="000000"/>
              <w:right w:val="single" w:sz="4" w:space="0" w:color="000000"/>
            </w:tcBorders>
            <w:shd w:val="clear" w:color="auto" w:fill="006600"/>
            <w:vAlign w:val="center"/>
          </w:tcPr>
          <w:p w14:paraId="78D426FC"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 xml:space="preserve">2. Promover la plena y armoniosa participación de la población rural, en el aprovechamiento sostenible de los recursos naturales y una adecuada </w:t>
            </w:r>
            <w:r>
              <w:rPr>
                <w:rFonts w:ascii="Arial" w:eastAsia="Arial" w:hAnsi="Arial" w:cs="Arial"/>
                <w:color w:val="FFFFFF"/>
                <w:sz w:val="16"/>
                <w:szCs w:val="16"/>
              </w:rPr>
              <w:lastRenderedPageBreak/>
              <w:t>gestión ambiental, respetando las leyes y formas de vida del territorio.</w:t>
            </w:r>
          </w:p>
        </w:tc>
      </w:tr>
      <w:tr w:rsidR="00B50826" w14:paraId="0A3CC1BF" w14:textId="77777777" w:rsidTr="00097513">
        <w:trPr>
          <w:trHeight w:val="1995"/>
        </w:trPr>
        <w:tc>
          <w:tcPr>
            <w:tcW w:w="0" w:type="auto"/>
            <w:tcBorders>
              <w:top w:val="nil"/>
              <w:left w:val="single" w:sz="4" w:space="0" w:color="000000"/>
              <w:bottom w:val="single" w:sz="4" w:space="0" w:color="000000"/>
              <w:right w:val="single" w:sz="4" w:space="0" w:color="000000"/>
            </w:tcBorders>
            <w:shd w:val="clear" w:color="auto" w:fill="auto"/>
            <w:vAlign w:val="center"/>
          </w:tcPr>
          <w:p w14:paraId="5C6BD8AC" w14:textId="77777777" w:rsidR="00B50826" w:rsidRDefault="00006AE2">
            <w:pPr>
              <w:jc w:val="center"/>
              <w:rPr>
                <w:rFonts w:ascii="Arial" w:eastAsia="Arial" w:hAnsi="Arial" w:cs="Arial"/>
                <w:color w:val="000000"/>
                <w:sz w:val="16"/>
                <w:szCs w:val="16"/>
              </w:rPr>
            </w:pPr>
            <w:r>
              <w:rPr>
                <w:rFonts w:ascii="Arial" w:eastAsia="Arial" w:hAnsi="Arial" w:cs="Arial"/>
                <w:color w:val="000000"/>
                <w:sz w:val="16"/>
                <w:szCs w:val="16"/>
              </w:rPr>
              <w:lastRenderedPageBreak/>
              <w:t>34</w:t>
            </w:r>
          </w:p>
        </w:tc>
        <w:tc>
          <w:tcPr>
            <w:tcW w:w="0" w:type="auto"/>
            <w:tcBorders>
              <w:top w:val="nil"/>
              <w:left w:val="nil"/>
              <w:bottom w:val="single" w:sz="4" w:space="0" w:color="000000"/>
              <w:right w:val="single" w:sz="4" w:space="0" w:color="000000"/>
            </w:tcBorders>
            <w:shd w:val="clear" w:color="auto" w:fill="006600"/>
            <w:vAlign w:val="center"/>
          </w:tcPr>
          <w:p w14:paraId="306415A1"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Ordenamiento y Gestión Territorial</w:t>
            </w:r>
          </w:p>
        </w:tc>
        <w:tc>
          <w:tcPr>
            <w:tcW w:w="0" w:type="auto"/>
            <w:tcBorders>
              <w:top w:val="nil"/>
              <w:left w:val="nil"/>
              <w:bottom w:val="single" w:sz="4" w:space="0" w:color="000000"/>
              <w:right w:val="single" w:sz="4" w:space="0" w:color="000000"/>
            </w:tcBorders>
            <w:shd w:val="clear" w:color="auto" w:fill="auto"/>
            <w:vAlign w:val="center"/>
          </w:tcPr>
          <w:p w14:paraId="0A9E7E7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3. Crecimiento económico equitativo, competitivo y sostenible.</w:t>
            </w:r>
          </w:p>
        </w:tc>
        <w:tc>
          <w:tcPr>
            <w:tcW w:w="0" w:type="auto"/>
            <w:tcBorders>
              <w:top w:val="nil"/>
              <w:left w:val="nil"/>
              <w:bottom w:val="single" w:sz="4" w:space="0" w:color="000000"/>
              <w:right w:val="single" w:sz="4" w:space="0" w:color="000000"/>
            </w:tcBorders>
            <w:shd w:val="clear" w:color="auto" w:fill="auto"/>
            <w:vAlign w:val="center"/>
          </w:tcPr>
          <w:p w14:paraId="7D6708F9"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74D045EB" w14:textId="77777777" w:rsidR="00B50826" w:rsidRDefault="00006AE2">
            <w:pPr>
              <w:rPr>
                <w:rFonts w:ascii="Arial" w:eastAsia="Arial" w:hAnsi="Arial" w:cs="Arial"/>
                <w:color w:val="000000"/>
                <w:sz w:val="16"/>
                <w:szCs w:val="16"/>
              </w:rPr>
            </w:pPr>
            <w:r>
              <w:rPr>
                <w:rFonts w:ascii="Arial" w:eastAsia="Arial" w:hAnsi="Arial" w:cs="Arial"/>
                <w:color w:val="000000"/>
                <w:sz w:val="16"/>
                <w:szCs w:val="16"/>
              </w:rPr>
              <w:t> </w:t>
            </w:r>
          </w:p>
        </w:tc>
        <w:tc>
          <w:tcPr>
            <w:tcW w:w="0" w:type="auto"/>
            <w:tcBorders>
              <w:top w:val="nil"/>
              <w:left w:val="nil"/>
              <w:bottom w:val="single" w:sz="4" w:space="0" w:color="000000"/>
              <w:right w:val="single" w:sz="4" w:space="0" w:color="000000"/>
            </w:tcBorders>
            <w:shd w:val="clear" w:color="auto" w:fill="auto"/>
            <w:vAlign w:val="center"/>
          </w:tcPr>
          <w:p w14:paraId="7517462C"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 xml:space="preserve">PR12.- Mejorar la </w:t>
            </w:r>
            <w:proofErr w:type="spellStart"/>
            <w:r>
              <w:rPr>
                <w:rFonts w:ascii="Arial" w:eastAsia="Arial" w:hAnsi="Arial" w:cs="Arial"/>
                <w:color w:val="000000"/>
                <w:sz w:val="16"/>
                <w:szCs w:val="16"/>
              </w:rPr>
              <w:t>Gestion</w:t>
            </w:r>
            <w:proofErr w:type="spellEnd"/>
            <w:r>
              <w:rPr>
                <w:rFonts w:ascii="Arial" w:eastAsia="Arial" w:hAnsi="Arial" w:cs="Arial"/>
                <w:color w:val="000000"/>
                <w:sz w:val="16"/>
                <w:szCs w:val="16"/>
              </w:rPr>
              <w:t xml:space="preserve"> Ambiental Regional.</w:t>
            </w:r>
          </w:p>
        </w:tc>
        <w:tc>
          <w:tcPr>
            <w:tcW w:w="0" w:type="auto"/>
            <w:tcBorders>
              <w:top w:val="nil"/>
              <w:left w:val="nil"/>
              <w:bottom w:val="single" w:sz="4" w:space="0" w:color="000000"/>
              <w:right w:val="single" w:sz="4" w:space="0" w:color="000000"/>
            </w:tcBorders>
            <w:shd w:val="clear" w:color="auto" w:fill="auto"/>
            <w:vAlign w:val="center"/>
          </w:tcPr>
          <w:p w14:paraId="18EC054A" w14:textId="77777777" w:rsidR="00B50826" w:rsidRDefault="00006AE2">
            <w:pPr>
              <w:jc w:val="both"/>
              <w:rPr>
                <w:rFonts w:ascii="Arial" w:eastAsia="Arial" w:hAnsi="Arial" w:cs="Arial"/>
                <w:color w:val="000000"/>
                <w:sz w:val="16"/>
                <w:szCs w:val="16"/>
              </w:rPr>
            </w:pPr>
            <w:r>
              <w:rPr>
                <w:rFonts w:ascii="Arial" w:eastAsia="Arial" w:hAnsi="Arial" w:cs="Arial"/>
                <w:color w:val="000000"/>
                <w:sz w:val="16"/>
                <w:szCs w:val="16"/>
              </w:rPr>
              <w:t>1. Incrementar el crecimiento económico, dinamizando los sectores económicos primarios y secundarios a través de mejoras en la infraestructura pública productiva, así como en las capacidades de los agentes económicos organizados.</w:t>
            </w:r>
          </w:p>
        </w:tc>
        <w:tc>
          <w:tcPr>
            <w:tcW w:w="1695" w:type="dxa"/>
            <w:tcBorders>
              <w:top w:val="nil"/>
              <w:left w:val="nil"/>
              <w:bottom w:val="single" w:sz="4" w:space="0" w:color="000000"/>
              <w:right w:val="single" w:sz="4" w:space="0" w:color="000000"/>
            </w:tcBorders>
            <w:shd w:val="clear" w:color="auto" w:fill="006600"/>
            <w:vAlign w:val="center"/>
          </w:tcPr>
          <w:p w14:paraId="3193B2BD" w14:textId="77777777" w:rsidR="00B50826" w:rsidRDefault="00006AE2">
            <w:pPr>
              <w:jc w:val="both"/>
              <w:rPr>
                <w:rFonts w:ascii="Arial" w:eastAsia="Arial" w:hAnsi="Arial" w:cs="Arial"/>
                <w:color w:val="FFFFFF"/>
                <w:sz w:val="16"/>
                <w:szCs w:val="16"/>
              </w:rPr>
            </w:pPr>
            <w:r>
              <w:rPr>
                <w:rFonts w:ascii="Arial" w:eastAsia="Arial" w:hAnsi="Arial" w:cs="Arial"/>
                <w:color w:val="FFFFFF"/>
                <w:sz w:val="16"/>
                <w:szCs w:val="16"/>
              </w:rPr>
              <w:t>2. Promover la plena y armoniosa participación de la población rural, en el aprovechamiento sostenible de los recursos naturales y una adecuada gestión ambiental, respetando las leyes y formas de vida del territorio.</w:t>
            </w:r>
          </w:p>
        </w:tc>
      </w:tr>
    </w:tbl>
    <w:p w14:paraId="57E181FE" w14:textId="77777777" w:rsidR="00B50826" w:rsidRDefault="00B50826">
      <w:pPr>
        <w:rPr>
          <w:rFonts w:ascii="Arial" w:eastAsia="Arial" w:hAnsi="Arial" w:cs="Arial"/>
          <w:b/>
          <w:color w:val="002060"/>
        </w:rPr>
      </w:pPr>
    </w:p>
    <w:p w14:paraId="0144E3AA" w14:textId="77777777" w:rsidR="00B50826" w:rsidRDefault="00B50826">
      <w:pPr>
        <w:rPr>
          <w:rFonts w:ascii="Arial" w:eastAsia="Arial" w:hAnsi="Arial" w:cs="Arial"/>
          <w:b/>
          <w:color w:val="002060"/>
        </w:rPr>
      </w:pPr>
    </w:p>
    <w:p w14:paraId="4ADEA3EF" w14:textId="77777777" w:rsidR="00B50826" w:rsidRDefault="00B50826">
      <w:pPr>
        <w:rPr>
          <w:rFonts w:ascii="Arial" w:eastAsia="Arial" w:hAnsi="Arial" w:cs="Arial"/>
          <w:b/>
          <w:color w:val="002060"/>
        </w:rPr>
      </w:pPr>
    </w:p>
    <w:p w14:paraId="5A43E3FC" w14:textId="77777777" w:rsidR="00B50826" w:rsidRDefault="00B50826">
      <w:pPr>
        <w:rPr>
          <w:rFonts w:ascii="Arial" w:eastAsia="Arial" w:hAnsi="Arial" w:cs="Arial"/>
          <w:b/>
          <w:color w:val="002060"/>
        </w:rPr>
      </w:pPr>
    </w:p>
    <w:p w14:paraId="798E2FE2" w14:textId="77777777" w:rsidR="00B50826" w:rsidRDefault="00B50826">
      <w:pPr>
        <w:rPr>
          <w:rFonts w:ascii="Arial" w:eastAsia="Arial" w:hAnsi="Arial" w:cs="Arial"/>
          <w:b/>
          <w:color w:val="002060"/>
        </w:rPr>
      </w:pPr>
    </w:p>
    <w:p w14:paraId="5ECFDC2C" w14:textId="77777777" w:rsidR="00B50826" w:rsidRDefault="00B50826">
      <w:pPr>
        <w:rPr>
          <w:rFonts w:ascii="Arial" w:eastAsia="Arial" w:hAnsi="Arial" w:cs="Arial"/>
          <w:b/>
          <w:color w:val="002060"/>
        </w:rPr>
      </w:pPr>
    </w:p>
    <w:p w14:paraId="673E738D" w14:textId="77777777" w:rsidR="00B50826" w:rsidRDefault="00B50826">
      <w:pPr>
        <w:rPr>
          <w:rFonts w:ascii="Arial" w:eastAsia="Arial" w:hAnsi="Arial" w:cs="Arial"/>
          <w:b/>
          <w:color w:val="002060"/>
        </w:rPr>
      </w:pPr>
    </w:p>
    <w:p w14:paraId="61E3D3D1" w14:textId="77777777" w:rsidR="00B50826" w:rsidRDefault="00B50826">
      <w:pPr>
        <w:rPr>
          <w:rFonts w:ascii="Arial" w:eastAsia="Arial" w:hAnsi="Arial" w:cs="Arial"/>
          <w:b/>
          <w:color w:val="002060"/>
        </w:rPr>
      </w:pPr>
    </w:p>
    <w:p w14:paraId="7C41F2D5" w14:textId="77777777" w:rsidR="00B50826" w:rsidRDefault="00B50826">
      <w:pPr>
        <w:rPr>
          <w:rFonts w:ascii="Arial" w:eastAsia="Arial" w:hAnsi="Arial" w:cs="Arial"/>
          <w:b/>
          <w:color w:val="002060"/>
        </w:rPr>
      </w:pPr>
    </w:p>
    <w:p w14:paraId="090DC387" w14:textId="77777777" w:rsidR="00B50826" w:rsidRDefault="00B50826">
      <w:pPr>
        <w:rPr>
          <w:rFonts w:ascii="Arial" w:eastAsia="Arial" w:hAnsi="Arial" w:cs="Arial"/>
          <w:b/>
          <w:color w:val="002060"/>
        </w:rPr>
      </w:pPr>
    </w:p>
    <w:p w14:paraId="7012C61E" w14:textId="77777777" w:rsidR="00B50826" w:rsidRDefault="00B50826">
      <w:pPr>
        <w:rPr>
          <w:rFonts w:ascii="Arial" w:eastAsia="Arial" w:hAnsi="Arial" w:cs="Arial"/>
          <w:b/>
          <w:color w:val="002060"/>
        </w:rPr>
      </w:pPr>
    </w:p>
    <w:p w14:paraId="1B474FF5" w14:textId="77777777" w:rsidR="00B50826" w:rsidRDefault="00B50826">
      <w:pPr>
        <w:rPr>
          <w:rFonts w:ascii="Arial" w:eastAsia="Arial" w:hAnsi="Arial" w:cs="Arial"/>
          <w:b/>
          <w:color w:val="002060"/>
        </w:rPr>
      </w:pPr>
    </w:p>
    <w:p w14:paraId="19D32294" w14:textId="77777777" w:rsidR="00B50826" w:rsidRDefault="00B50826">
      <w:pPr>
        <w:rPr>
          <w:rFonts w:ascii="Arial" w:eastAsia="Arial" w:hAnsi="Arial" w:cs="Arial"/>
          <w:b/>
          <w:color w:val="002060"/>
        </w:rPr>
      </w:pPr>
    </w:p>
    <w:p w14:paraId="53E2408F" w14:textId="77777777" w:rsidR="00B50826" w:rsidRDefault="00B50826">
      <w:pPr>
        <w:rPr>
          <w:rFonts w:ascii="Arial" w:eastAsia="Arial" w:hAnsi="Arial" w:cs="Arial"/>
          <w:b/>
          <w:color w:val="002060"/>
        </w:rPr>
      </w:pPr>
    </w:p>
    <w:p w14:paraId="29D3A204" w14:textId="77777777" w:rsidR="00B50826" w:rsidRDefault="00B50826">
      <w:pPr>
        <w:rPr>
          <w:rFonts w:ascii="Arial" w:eastAsia="Arial" w:hAnsi="Arial" w:cs="Arial"/>
          <w:b/>
          <w:color w:val="002060"/>
        </w:rPr>
      </w:pPr>
    </w:p>
    <w:p w14:paraId="36FB34CB" w14:textId="77777777" w:rsidR="00B50826" w:rsidRDefault="00B50826">
      <w:pPr>
        <w:rPr>
          <w:rFonts w:ascii="Arial" w:eastAsia="Arial" w:hAnsi="Arial" w:cs="Arial"/>
          <w:b/>
          <w:color w:val="002060"/>
        </w:rPr>
      </w:pPr>
    </w:p>
    <w:p w14:paraId="5E251235" w14:textId="77777777" w:rsidR="00B50826" w:rsidRDefault="00B50826">
      <w:pPr>
        <w:rPr>
          <w:rFonts w:ascii="Arial" w:eastAsia="Arial" w:hAnsi="Arial" w:cs="Arial"/>
          <w:b/>
          <w:color w:val="002060"/>
        </w:rPr>
      </w:pPr>
    </w:p>
    <w:p w14:paraId="4F385983" w14:textId="77777777" w:rsidR="00B50826" w:rsidRDefault="00B50826">
      <w:pPr>
        <w:rPr>
          <w:rFonts w:ascii="Arial" w:eastAsia="Arial" w:hAnsi="Arial" w:cs="Arial"/>
          <w:b/>
          <w:color w:val="002060"/>
        </w:rPr>
      </w:pPr>
    </w:p>
    <w:p w14:paraId="3FCEE3C3" w14:textId="77777777" w:rsidR="00B50826" w:rsidRDefault="00B50826">
      <w:pPr>
        <w:rPr>
          <w:rFonts w:ascii="Arial" w:eastAsia="Arial" w:hAnsi="Arial" w:cs="Arial"/>
          <w:b/>
          <w:color w:val="002060"/>
        </w:rPr>
      </w:pPr>
    </w:p>
    <w:p w14:paraId="7F047C43" w14:textId="77777777" w:rsidR="00B50826" w:rsidRDefault="00B50826">
      <w:pPr>
        <w:rPr>
          <w:rFonts w:ascii="Arial" w:eastAsia="Arial" w:hAnsi="Arial" w:cs="Arial"/>
          <w:b/>
          <w:color w:val="002060"/>
        </w:rPr>
      </w:pPr>
    </w:p>
    <w:p w14:paraId="6A202108" w14:textId="77777777" w:rsidR="00B50826" w:rsidRDefault="00B50826">
      <w:pPr>
        <w:rPr>
          <w:rFonts w:ascii="Arial" w:eastAsia="Arial" w:hAnsi="Arial" w:cs="Arial"/>
          <w:b/>
          <w:color w:val="002060"/>
        </w:rPr>
      </w:pPr>
    </w:p>
    <w:p w14:paraId="6DA01223" w14:textId="77777777" w:rsidR="00B50826" w:rsidRDefault="00B50826">
      <w:pPr>
        <w:rPr>
          <w:rFonts w:ascii="Arial" w:eastAsia="Arial" w:hAnsi="Arial" w:cs="Arial"/>
          <w:b/>
          <w:color w:val="002060"/>
        </w:rPr>
      </w:pPr>
    </w:p>
    <w:p w14:paraId="30E4A793" w14:textId="77777777" w:rsidR="00B50826" w:rsidRDefault="00B50826">
      <w:pPr>
        <w:rPr>
          <w:rFonts w:ascii="Arial" w:eastAsia="Arial" w:hAnsi="Arial" w:cs="Arial"/>
          <w:b/>
          <w:color w:val="002060"/>
        </w:rPr>
      </w:pPr>
    </w:p>
    <w:p w14:paraId="4EFD8ABE" w14:textId="77777777" w:rsidR="00B50826" w:rsidRDefault="00B50826">
      <w:pPr>
        <w:rPr>
          <w:rFonts w:ascii="Arial" w:eastAsia="Arial" w:hAnsi="Arial" w:cs="Arial"/>
          <w:b/>
          <w:color w:val="002060"/>
        </w:rPr>
      </w:pPr>
    </w:p>
    <w:p w14:paraId="6FC07AC7" w14:textId="77777777" w:rsidR="00B50826" w:rsidRDefault="00B50826">
      <w:pPr>
        <w:rPr>
          <w:rFonts w:ascii="Arial" w:eastAsia="Arial" w:hAnsi="Arial" w:cs="Arial"/>
          <w:b/>
          <w:color w:val="002060"/>
        </w:rPr>
      </w:pPr>
    </w:p>
    <w:p w14:paraId="463329BD" w14:textId="77777777" w:rsidR="00B50826" w:rsidRDefault="00B50826">
      <w:pPr>
        <w:rPr>
          <w:rFonts w:ascii="Arial" w:eastAsia="Arial" w:hAnsi="Arial" w:cs="Arial"/>
          <w:b/>
          <w:color w:val="002060"/>
        </w:rPr>
      </w:pPr>
    </w:p>
    <w:p w14:paraId="33D524D5" w14:textId="77777777" w:rsidR="00B50826" w:rsidRDefault="00B50826">
      <w:pPr>
        <w:rPr>
          <w:rFonts w:ascii="Arial" w:eastAsia="Arial" w:hAnsi="Arial" w:cs="Arial"/>
          <w:b/>
          <w:color w:val="002060"/>
        </w:rPr>
      </w:pPr>
    </w:p>
    <w:p w14:paraId="12F2CBCF" w14:textId="77777777" w:rsidR="00B50826" w:rsidRDefault="00B50826">
      <w:pPr>
        <w:rPr>
          <w:rFonts w:ascii="Arial" w:eastAsia="Arial" w:hAnsi="Arial" w:cs="Arial"/>
          <w:b/>
          <w:color w:val="002060"/>
        </w:rPr>
      </w:pPr>
    </w:p>
    <w:p w14:paraId="0781822B" w14:textId="77777777" w:rsidR="00B50826" w:rsidRDefault="00B50826">
      <w:pPr>
        <w:rPr>
          <w:rFonts w:ascii="Arial" w:eastAsia="Arial" w:hAnsi="Arial" w:cs="Arial"/>
          <w:b/>
          <w:color w:val="002060"/>
        </w:rPr>
      </w:pPr>
    </w:p>
    <w:p w14:paraId="0E6B676B" w14:textId="77777777" w:rsidR="00B50826" w:rsidRDefault="00B50826">
      <w:pPr>
        <w:rPr>
          <w:rFonts w:ascii="Arial" w:eastAsia="Arial" w:hAnsi="Arial" w:cs="Arial"/>
          <w:b/>
          <w:color w:val="002060"/>
        </w:rPr>
      </w:pPr>
    </w:p>
    <w:p w14:paraId="496B2566" w14:textId="77777777" w:rsidR="00B50826" w:rsidRDefault="00B50826">
      <w:pPr>
        <w:rPr>
          <w:rFonts w:ascii="Arial" w:eastAsia="Arial" w:hAnsi="Arial" w:cs="Arial"/>
          <w:b/>
          <w:color w:val="002060"/>
        </w:rPr>
      </w:pPr>
    </w:p>
    <w:p w14:paraId="2E86965E" w14:textId="77777777" w:rsidR="00B50826" w:rsidRDefault="00006AE2">
      <w:pPr>
        <w:ind w:right="425"/>
        <w:rPr>
          <w:rFonts w:ascii="Arial" w:eastAsia="Arial" w:hAnsi="Arial" w:cs="Arial"/>
          <w:b/>
          <w:color w:val="002060"/>
        </w:rPr>
      </w:pPr>
      <w:r>
        <w:rPr>
          <w:noProof/>
        </w:rPr>
        <w:lastRenderedPageBreak/>
        <w:drawing>
          <wp:inline distT="0" distB="0" distL="0" distR="0" wp14:anchorId="34EA09A5" wp14:editId="1180BFFC">
            <wp:extent cx="6346190" cy="2742565"/>
            <wp:effectExtent l="0" t="0" r="0" b="0"/>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6346576" cy="2742574"/>
                    </a:xfrm>
                    <a:prstGeom prst="rect">
                      <a:avLst/>
                    </a:prstGeom>
                    <a:ln/>
                  </pic:spPr>
                </pic:pic>
              </a:graphicData>
            </a:graphic>
          </wp:inline>
        </w:drawing>
      </w:r>
    </w:p>
    <w:p w14:paraId="7C436598" w14:textId="77777777" w:rsidR="00B50826" w:rsidRDefault="00B50826">
      <w:pPr>
        <w:rPr>
          <w:rFonts w:ascii="Arial" w:eastAsia="Arial" w:hAnsi="Arial" w:cs="Arial"/>
          <w:b/>
          <w:color w:val="002060"/>
        </w:rPr>
      </w:pPr>
    </w:p>
    <w:p w14:paraId="409D6311" w14:textId="77777777" w:rsidR="00B50826" w:rsidRDefault="00B50826">
      <w:pPr>
        <w:rPr>
          <w:rFonts w:ascii="Arial" w:eastAsia="Arial" w:hAnsi="Arial" w:cs="Arial"/>
          <w:b/>
          <w:color w:val="002060"/>
        </w:rPr>
      </w:pPr>
    </w:p>
    <w:p w14:paraId="70EE5DE9" w14:textId="77777777" w:rsidR="00B50826" w:rsidRDefault="00B50826">
      <w:pPr>
        <w:rPr>
          <w:rFonts w:ascii="Arial" w:eastAsia="Arial" w:hAnsi="Arial" w:cs="Arial"/>
          <w:b/>
          <w:color w:val="002060"/>
        </w:rPr>
      </w:pPr>
    </w:p>
    <w:p w14:paraId="0395B294" w14:textId="77777777" w:rsidR="00B50826" w:rsidRDefault="00006AE2">
      <w:pPr>
        <w:numPr>
          <w:ilvl w:val="0"/>
          <w:numId w:val="16"/>
        </w:numPr>
        <w:pBdr>
          <w:top w:val="nil"/>
          <w:left w:val="nil"/>
          <w:bottom w:val="nil"/>
          <w:right w:val="nil"/>
          <w:between w:val="nil"/>
        </w:pBdr>
        <w:ind w:hanging="360"/>
        <w:rPr>
          <w:rFonts w:ascii="Arial" w:eastAsia="Arial" w:hAnsi="Arial" w:cs="Arial"/>
          <w:b/>
          <w:color w:val="002060"/>
        </w:rPr>
      </w:pPr>
      <w:r>
        <w:rPr>
          <w:rFonts w:ascii="Arial" w:eastAsia="Arial" w:hAnsi="Arial" w:cs="Arial"/>
          <w:b/>
          <w:color w:val="002060"/>
        </w:rPr>
        <w:t xml:space="preserve">Anexo 2. Articulación con la Política Nacional Agraria </w:t>
      </w:r>
    </w:p>
    <w:p w14:paraId="20F07FDB" w14:textId="77777777" w:rsidR="00B50826" w:rsidRDefault="00B50826">
      <w:pPr>
        <w:pBdr>
          <w:top w:val="nil"/>
          <w:left w:val="nil"/>
          <w:bottom w:val="nil"/>
          <w:right w:val="nil"/>
          <w:between w:val="nil"/>
        </w:pBdr>
        <w:ind w:left="1353" w:hanging="720"/>
        <w:rPr>
          <w:rFonts w:ascii="Arial" w:eastAsia="Arial" w:hAnsi="Arial" w:cs="Arial"/>
          <w:b/>
          <w:color w:val="002060"/>
        </w:rPr>
      </w:pPr>
    </w:p>
    <w:p w14:paraId="4565AEDA" w14:textId="77777777" w:rsidR="00B50826" w:rsidRDefault="00006AE2">
      <w:pPr>
        <w:pBdr>
          <w:top w:val="nil"/>
          <w:left w:val="nil"/>
          <w:bottom w:val="nil"/>
          <w:right w:val="nil"/>
          <w:between w:val="nil"/>
        </w:pBdr>
        <w:ind w:hanging="720"/>
        <w:rPr>
          <w:rFonts w:ascii="Arial" w:eastAsia="Arial" w:hAnsi="Arial" w:cs="Arial"/>
          <w:b/>
          <w:color w:val="002060"/>
        </w:rPr>
      </w:pPr>
      <w:r>
        <w:rPr>
          <w:noProof/>
        </w:rPr>
        <w:drawing>
          <wp:inline distT="0" distB="0" distL="0" distR="0" wp14:anchorId="1351E424" wp14:editId="47A9F864">
            <wp:extent cx="6574155" cy="4679315"/>
            <wp:effectExtent l="0" t="0" r="0" b="0"/>
            <wp:docPr id="2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6574422" cy="4679794"/>
                    </a:xfrm>
                    <a:prstGeom prst="rect">
                      <a:avLst/>
                    </a:prstGeom>
                    <a:ln/>
                  </pic:spPr>
                </pic:pic>
              </a:graphicData>
            </a:graphic>
          </wp:inline>
        </w:drawing>
      </w:r>
    </w:p>
    <w:p w14:paraId="68F1C72C" w14:textId="77777777" w:rsidR="00B50826" w:rsidRDefault="00B50826">
      <w:pPr>
        <w:pBdr>
          <w:top w:val="nil"/>
          <w:left w:val="nil"/>
          <w:bottom w:val="nil"/>
          <w:right w:val="nil"/>
          <w:between w:val="nil"/>
        </w:pBdr>
        <w:ind w:left="1353" w:hanging="720"/>
        <w:rPr>
          <w:rFonts w:ascii="Arial" w:eastAsia="Arial" w:hAnsi="Arial" w:cs="Arial"/>
          <w:b/>
          <w:color w:val="002060"/>
        </w:rPr>
      </w:pPr>
    </w:p>
    <w:p w14:paraId="1E72C4FE" w14:textId="77777777" w:rsidR="00B50826" w:rsidRDefault="00006AE2">
      <w:pPr>
        <w:rPr>
          <w:b/>
          <w:color w:val="002060"/>
          <w:sz w:val="20"/>
          <w:szCs w:val="20"/>
        </w:rPr>
      </w:pPr>
      <w:r>
        <w:rPr>
          <w:b/>
          <w:color w:val="002060"/>
          <w:sz w:val="20"/>
          <w:szCs w:val="20"/>
        </w:rPr>
        <w:t>ANEXO N°</w:t>
      </w:r>
    </w:p>
    <w:p w14:paraId="33FC0E3B"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t>ANÁLISIS DE REDES DE CAUSAS DE LA DEFORESTACIÓN – PUENTO INCA</w:t>
      </w:r>
    </w:p>
    <w:p w14:paraId="67BAAB9F"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lastRenderedPageBreak/>
        <w:t>En el taller realizado en la localidad de Puerto Inca (sub regional), de acuerdo a la metodología DRIVE NET, se han identificados 30 causas (directas e indirectas) de deforestación, en la cual después del desarrollo de la matriz binaria donde se ponderó la intensidad de relación entre causas y en base a esa matriz binaria desarrollada, se obtuvo el diagrama de influencia y las redes.</w:t>
      </w:r>
    </w:p>
    <w:p w14:paraId="7F56E9D2" w14:textId="77777777" w:rsidR="00B50826" w:rsidRDefault="00B50826">
      <w:pPr>
        <w:rPr>
          <w:color w:val="002060"/>
        </w:rPr>
      </w:pPr>
    </w:p>
    <w:p w14:paraId="44550F2E" w14:textId="77777777" w:rsidR="00B50826" w:rsidRDefault="00006AE2">
      <w:pPr>
        <w:ind w:hanging="567"/>
        <w:jc w:val="center"/>
        <w:rPr>
          <w:color w:val="002060"/>
        </w:rPr>
      </w:pPr>
      <w:r>
        <w:rPr>
          <w:noProof/>
        </w:rPr>
        <w:drawing>
          <wp:inline distT="0" distB="0" distL="0" distR="0" wp14:anchorId="5EAB00D3" wp14:editId="614B7917">
            <wp:extent cx="5142230" cy="3542030"/>
            <wp:effectExtent l="0" t="0" r="0" b="0"/>
            <wp:docPr id="2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1"/>
                    <a:srcRect/>
                    <a:stretch>
                      <a:fillRect/>
                    </a:stretch>
                  </pic:blipFill>
                  <pic:spPr>
                    <a:xfrm>
                      <a:off x="0" y="0"/>
                      <a:ext cx="5142428" cy="3542603"/>
                    </a:xfrm>
                    <a:prstGeom prst="rect">
                      <a:avLst/>
                    </a:prstGeom>
                    <a:ln/>
                  </pic:spPr>
                </pic:pic>
              </a:graphicData>
            </a:graphic>
          </wp:inline>
        </w:drawing>
      </w:r>
    </w:p>
    <w:p w14:paraId="0E343526" w14:textId="77777777" w:rsidR="00B50826" w:rsidRDefault="00B50826">
      <w:pPr>
        <w:ind w:hanging="567"/>
        <w:rPr>
          <w:color w:val="002060"/>
        </w:rPr>
      </w:pPr>
    </w:p>
    <w:p w14:paraId="03E7B9B1" w14:textId="77777777" w:rsidR="00B50826" w:rsidRDefault="00B50826">
      <w:pPr>
        <w:ind w:hanging="567"/>
        <w:rPr>
          <w:color w:val="002060"/>
        </w:rPr>
      </w:pPr>
    </w:p>
    <w:p w14:paraId="6BCB6855" w14:textId="77777777" w:rsidR="00B50826" w:rsidRDefault="00006AE2">
      <w:pPr>
        <w:ind w:hanging="567"/>
        <w:jc w:val="center"/>
        <w:rPr>
          <w:color w:val="002060"/>
        </w:rPr>
      </w:pPr>
      <w:r>
        <w:rPr>
          <w:noProof/>
        </w:rPr>
        <w:drawing>
          <wp:inline distT="0" distB="0" distL="0" distR="0" wp14:anchorId="27714A6A" wp14:editId="40407CEE">
            <wp:extent cx="4854575" cy="3096895"/>
            <wp:effectExtent l="0" t="0" r="0" b="0"/>
            <wp:docPr id="2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4855063" cy="3097019"/>
                    </a:xfrm>
                    <a:prstGeom prst="rect">
                      <a:avLst/>
                    </a:prstGeom>
                    <a:ln/>
                  </pic:spPr>
                </pic:pic>
              </a:graphicData>
            </a:graphic>
          </wp:inline>
        </w:drawing>
      </w:r>
    </w:p>
    <w:p w14:paraId="756E6515"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la cual, como se puede observar en el diagrama de influencia y la red de influencia activa, resaltan las causas más influyentes y dependientes a los </w:t>
      </w:r>
      <w:r>
        <w:rPr>
          <w:rFonts w:ascii="Arial" w:eastAsia="Arial" w:hAnsi="Arial" w:cs="Arial"/>
          <w:b/>
          <w:color w:val="002060"/>
          <w:sz w:val="20"/>
          <w:szCs w:val="20"/>
        </w:rPr>
        <w:t xml:space="preserve">ingresos/ capital y control y vigilancia </w:t>
      </w:r>
      <w:r>
        <w:rPr>
          <w:rFonts w:ascii="Arial" w:eastAsia="Arial" w:hAnsi="Arial" w:cs="Arial"/>
          <w:color w:val="002060"/>
          <w:sz w:val="20"/>
          <w:szCs w:val="20"/>
        </w:rPr>
        <w:t>a su vez son puntos de apalancamiento principal</w:t>
      </w:r>
      <w:r>
        <w:rPr>
          <w:rFonts w:ascii="Arial" w:eastAsia="Arial" w:hAnsi="Arial" w:cs="Arial"/>
          <w:b/>
          <w:color w:val="002060"/>
          <w:sz w:val="20"/>
          <w:szCs w:val="20"/>
        </w:rPr>
        <w:t>,</w:t>
      </w:r>
      <w:r>
        <w:rPr>
          <w:rFonts w:ascii="Arial" w:eastAsia="Arial" w:hAnsi="Arial" w:cs="Arial"/>
          <w:color w:val="002060"/>
          <w:sz w:val="20"/>
          <w:szCs w:val="20"/>
        </w:rPr>
        <w:t xml:space="preserve"> así mismo en el gráfico de redes, estas métricas cuentan con números elevados de conexiones de redes entre ellas, actuando en el sistema como puentes de otras causas, cabe mencionar que los nodos de </w:t>
      </w:r>
      <w:r>
        <w:rPr>
          <w:rFonts w:ascii="Arial" w:eastAsia="Arial" w:hAnsi="Arial" w:cs="Arial"/>
          <w:b/>
          <w:color w:val="002060"/>
          <w:sz w:val="20"/>
          <w:szCs w:val="20"/>
        </w:rPr>
        <w:t>tráfico de tierras</w:t>
      </w:r>
      <w:r>
        <w:rPr>
          <w:rFonts w:ascii="Arial" w:eastAsia="Arial" w:hAnsi="Arial" w:cs="Arial"/>
          <w:color w:val="002060"/>
          <w:sz w:val="20"/>
          <w:szCs w:val="20"/>
        </w:rPr>
        <w:t xml:space="preserve"> </w:t>
      </w:r>
      <w:r>
        <w:rPr>
          <w:rFonts w:ascii="Arial" w:eastAsia="Arial" w:hAnsi="Arial" w:cs="Arial"/>
          <w:b/>
          <w:color w:val="002060"/>
          <w:sz w:val="20"/>
          <w:szCs w:val="20"/>
        </w:rPr>
        <w:t xml:space="preserve">y programas de inversión pública, </w:t>
      </w:r>
      <w:r>
        <w:rPr>
          <w:rFonts w:ascii="Arial" w:eastAsia="Arial" w:hAnsi="Arial" w:cs="Arial"/>
          <w:color w:val="002060"/>
          <w:sz w:val="20"/>
          <w:szCs w:val="20"/>
        </w:rPr>
        <w:t>presentan un alto valor de intensidad indicando así la fuerza y rapidez que influencia sobre las demás causas.</w:t>
      </w:r>
    </w:p>
    <w:p w14:paraId="2728DF86" w14:textId="77777777" w:rsidR="00B50826" w:rsidRDefault="00006AE2">
      <w:pPr>
        <w:numPr>
          <w:ilvl w:val="0"/>
          <w:numId w:val="3"/>
        </w:numPr>
        <w:pBdr>
          <w:top w:val="nil"/>
          <w:left w:val="nil"/>
          <w:bottom w:val="nil"/>
          <w:right w:val="nil"/>
          <w:between w:val="nil"/>
        </w:pBdr>
        <w:spacing w:line="259" w:lineRule="auto"/>
        <w:jc w:val="both"/>
        <w:rPr>
          <w:rFonts w:ascii="Arial" w:eastAsia="Arial" w:hAnsi="Arial" w:cs="Arial"/>
          <w:b/>
          <w:color w:val="002060"/>
          <w:sz w:val="20"/>
          <w:szCs w:val="20"/>
        </w:rPr>
      </w:pPr>
      <w:r>
        <w:rPr>
          <w:rFonts w:ascii="Arial" w:eastAsia="Arial" w:hAnsi="Arial" w:cs="Arial"/>
          <w:b/>
          <w:color w:val="002060"/>
          <w:sz w:val="20"/>
          <w:szCs w:val="20"/>
        </w:rPr>
        <w:lastRenderedPageBreak/>
        <w:t xml:space="preserve">Puntos de apalancamiento </w:t>
      </w:r>
    </w:p>
    <w:p w14:paraId="6613EC1F" w14:textId="77777777" w:rsidR="00B50826" w:rsidRDefault="00006AE2">
      <w:pPr>
        <w:pBdr>
          <w:top w:val="nil"/>
          <w:left w:val="nil"/>
          <w:bottom w:val="nil"/>
          <w:right w:val="nil"/>
          <w:between w:val="nil"/>
        </w:pBdr>
        <w:ind w:left="720"/>
        <w:jc w:val="both"/>
        <w:rPr>
          <w:rFonts w:ascii="Arial" w:eastAsia="Arial" w:hAnsi="Arial" w:cs="Arial"/>
          <w:color w:val="002060"/>
          <w:sz w:val="20"/>
          <w:szCs w:val="20"/>
        </w:rPr>
      </w:pPr>
      <w:r>
        <w:rPr>
          <w:rFonts w:ascii="Arial" w:eastAsia="Arial" w:hAnsi="Arial" w:cs="Arial"/>
          <w:color w:val="002060"/>
          <w:sz w:val="20"/>
          <w:szCs w:val="20"/>
        </w:rPr>
        <w:t xml:space="preserve">Según el diagrama de influencia de causas, en el cuadrante superior derecho muestra a las causas como: </w:t>
      </w:r>
      <w:r>
        <w:rPr>
          <w:rFonts w:ascii="Arial" w:eastAsia="Arial" w:hAnsi="Arial" w:cs="Arial"/>
          <w:b/>
          <w:color w:val="002060"/>
          <w:sz w:val="20"/>
          <w:szCs w:val="20"/>
        </w:rPr>
        <w:t>ingresos/ capital y control y vigilancia</w:t>
      </w:r>
      <w:r>
        <w:rPr>
          <w:rFonts w:ascii="Arial" w:eastAsia="Arial" w:hAnsi="Arial" w:cs="Arial"/>
          <w:color w:val="002060"/>
          <w:sz w:val="20"/>
          <w:szCs w:val="20"/>
        </w:rPr>
        <w:t xml:space="preserve"> más influyentes y dependientes del sistema de redes.</w:t>
      </w:r>
    </w:p>
    <w:p w14:paraId="2556564D" w14:textId="77777777" w:rsidR="00B50826" w:rsidRDefault="00006AE2">
      <w:pPr>
        <w:numPr>
          <w:ilvl w:val="1"/>
          <w:numId w:val="3"/>
        </w:numPr>
        <w:pBdr>
          <w:top w:val="nil"/>
          <w:left w:val="nil"/>
          <w:bottom w:val="nil"/>
          <w:right w:val="nil"/>
          <w:between w:val="nil"/>
        </w:pBdr>
        <w:spacing w:line="259" w:lineRule="auto"/>
        <w:jc w:val="both"/>
        <w:rPr>
          <w:rFonts w:ascii="Arial" w:eastAsia="Arial" w:hAnsi="Arial" w:cs="Arial"/>
          <w:b/>
          <w:color w:val="002060"/>
          <w:sz w:val="20"/>
          <w:szCs w:val="20"/>
        </w:rPr>
      </w:pPr>
      <w:r>
        <w:rPr>
          <w:rFonts w:ascii="Arial" w:eastAsia="Arial" w:hAnsi="Arial" w:cs="Arial"/>
          <w:b/>
          <w:color w:val="002060"/>
          <w:sz w:val="20"/>
          <w:szCs w:val="20"/>
        </w:rPr>
        <w:t xml:space="preserve">Ingreso/capital. </w:t>
      </w:r>
      <w:r>
        <w:rPr>
          <w:rFonts w:ascii="Arial" w:eastAsia="Arial" w:hAnsi="Arial" w:cs="Arial"/>
          <w:color w:val="002060"/>
          <w:sz w:val="20"/>
          <w:szCs w:val="20"/>
        </w:rPr>
        <w:t xml:space="preserve">Es una causa que opera a una escala regional, influencia el sistema a través de su influencia directa sobre otras causas, teniendo así el grado de centralidad, apreciándose con altos valoras como conectora de las demás causas,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segunda de mayor valor. </w:t>
      </w:r>
    </w:p>
    <w:p w14:paraId="7C39972B" w14:textId="77777777" w:rsidR="00B50826" w:rsidRDefault="00006AE2">
      <w:pPr>
        <w:numPr>
          <w:ilvl w:val="1"/>
          <w:numId w:val="3"/>
        </w:numPr>
        <w:pBdr>
          <w:top w:val="nil"/>
          <w:left w:val="nil"/>
          <w:bottom w:val="nil"/>
          <w:right w:val="nil"/>
          <w:between w:val="nil"/>
        </w:pBdr>
        <w:spacing w:after="160" w:line="259" w:lineRule="auto"/>
        <w:jc w:val="both"/>
        <w:rPr>
          <w:rFonts w:ascii="Arial" w:eastAsia="Arial" w:hAnsi="Arial" w:cs="Arial"/>
          <w:b/>
          <w:color w:val="002060"/>
          <w:sz w:val="20"/>
          <w:szCs w:val="20"/>
        </w:rPr>
      </w:pPr>
      <w:r>
        <w:rPr>
          <w:rFonts w:ascii="Arial" w:eastAsia="Arial" w:hAnsi="Arial" w:cs="Arial"/>
          <w:b/>
          <w:color w:val="002060"/>
          <w:sz w:val="20"/>
          <w:szCs w:val="20"/>
        </w:rPr>
        <w:t xml:space="preserve">Control y vigilancia. </w:t>
      </w:r>
      <w:r>
        <w:rPr>
          <w:rFonts w:ascii="Arial" w:eastAsia="Arial" w:hAnsi="Arial" w:cs="Arial"/>
          <w:color w:val="002060"/>
          <w:sz w:val="20"/>
          <w:szCs w:val="20"/>
        </w:rPr>
        <w:t xml:space="preserve">Es una causa que opera a escala local, influencia el sistema a través de su influencia directa sobre otras causas, teniendo así el grado de centralidad, apreciándose con altos valoras como conectora de las demás causas,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de mayor valor. </w:t>
      </w:r>
    </w:p>
    <w:p w14:paraId="48694C9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Finalmente se deduce de este análisis que los puntos apalancamiento inicialmente son: ingreso/capital y control y vigilancia, que también se mantienen después del análisis.</w:t>
      </w:r>
    </w:p>
    <w:p w14:paraId="0AAC6CB7" w14:textId="77777777" w:rsidR="00B50826" w:rsidRDefault="00B50826">
      <w:pPr>
        <w:jc w:val="both"/>
        <w:rPr>
          <w:rFonts w:ascii="Arial" w:eastAsia="Arial" w:hAnsi="Arial" w:cs="Arial"/>
          <w:b/>
          <w:color w:val="002060"/>
        </w:rPr>
      </w:pPr>
    </w:p>
    <w:p w14:paraId="13D367DF" w14:textId="77777777" w:rsidR="00B50826" w:rsidRDefault="00B50826">
      <w:pPr>
        <w:jc w:val="both"/>
        <w:rPr>
          <w:rFonts w:ascii="Arial" w:eastAsia="Arial" w:hAnsi="Arial" w:cs="Arial"/>
          <w:b/>
          <w:color w:val="002060"/>
        </w:rPr>
      </w:pPr>
    </w:p>
    <w:p w14:paraId="3044A31D" w14:textId="77777777" w:rsidR="00B50826" w:rsidRDefault="00006AE2">
      <w:pPr>
        <w:numPr>
          <w:ilvl w:val="0"/>
          <w:numId w:val="3"/>
        </w:numPr>
        <w:pBdr>
          <w:top w:val="nil"/>
          <w:left w:val="nil"/>
          <w:bottom w:val="nil"/>
          <w:right w:val="nil"/>
          <w:between w:val="nil"/>
        </w:pBdr>
        <w:spacing w:line="259" w:lineRule="auto"/>
        <w:jc w:val="both"/>
        <w:rPr>
          <w:rFonts w:ascii="Arial" w:eastAsia="Arial" w:hAnsi="Arial" w:cs="Arial"/>
          <w:b/>
          <w:color w:val="002060"/>
          <w:sz w:val="20"/>
          <w:szCs w:val="20"/>
        </w:rPr>
      </w:pPr>
      <w:r>
        <w:rPr>
          <w:rFonts w:ascii="Arial" w:eastAsia="Arial" w:hAnsi="Arial" w:cs="Arial"/>
          <w:b/>
          <w:color w:val="002060"/>
          <w:sz w:val="20"/>
          <w:szCs w:val="20"/>
        </w:rPr>
        <w:t>Valores relevantes de las causas en su importancia de la medición de nodos.</w:t>
      </w:r>
    </w:p>
    <w:p w14:paraId="543265DA" w14:textId="77777777" w:rsidR="00B50826" w:rsidRDefault="00B50826">
      <w:pPr>
        <w:pBdr>
          <w:top w:val="nil"/>
          <w:left w:val="nil"/>
          <w:bottom w:val="nil"/>
          <w:right w:val="nil"/>
          <w:between w:val="nil"/>
        </w:pBdr>
        <w:ind w:left="720"/>
        <w:jc w:val="center"/>
        <w:rPr>
          <w:rFonts w:ascii="Arial" w:eastAsia="Arial" w:hAnsi="Arial" w:cs="Arial"/>
          <w:b/>
          <w:color w:val="002060"/>
          <w:sz w:val="20"/>
          <w:szCs w:val="20"/>
        </w:rPr>
      </w:pPr>
    </w:p>
    <w:tbl>
      <w:tblPr>
        <w:tblStyle w:val="aff5"/>
        <w:tblW w:w="0" w:type="auto"/>
        <w:tblInd w:w="0" w:type="dxa"/>
        <w:tblLook w:val="0400" w:firstRow="0" w:lastRow="0" w:firstColumn="0" w:lastColumn="0" w:noHBand="0" w:noVBand="1"/>
      </w:tblPr>
      <w:tblGrid>
        <w:gridCol w:w="1219"/>
        <w:gridCol w:w="1587"/>
        <w:gridCol w:w="776"/>
      </w:tblGrid>
      <w:tr w:rsidR="00B50826" w14:paraId="4A5A6BBB" w14:textId="77777777">
        <w:tc>
          <w:tcPr>
            <w:tcW w:w="0" w:type="auto"/>
          </w:tcPr>
          <w:p w14:paraId="2C7A3FA0" w14:textId="77777777" w:rsidR="00B50826" w:rsidRDefault="00B50826">
            <w:pPr>
              <w:pBdr>
                <w:top w:val="nil"/>
                <w:left w:val="nil"/>
                <w:bottom w:val="nil"/>
                <w:right w:val="nil"/>
                <w:between w:val="nil"/>
              </w:pBdr>
              <w:ind w:hanging="720"/>
              <w:jc w:val="center"/>
              <w:rPr>
                <w:rFonts w:ascii="Arial" w:eastAsia="Arial" w:hAnsi="Arial" w:cs="Arial"/>
                <w:b/>
                <w:color w:val="002060"/>
                <w:sz w:val="20"/>
                <w:szCs w:val="20"/>
              </w:rPr>
            </w:pPr>
          </w:p>
        </w:tc>
        <w:tc>
          <w:tcPr>
            <w:tcW w:w="0" w:type="auto"/>
          </w:tcPr>
          <w:p w14:paraId="68E7B86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CAUSAS</w:t>
            </w:r>
          </w:p>
        </w:tc>
        <w:tc>
          <w:tcPr>
            <w:tcW w:w="0" w:type="auto"/>
          </w:tcPr>
          <w:p w14:paraId="1C9990F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VALORES</w:t>
            </w:r>
          </w:p>
        </w:tc>
      </w:tr>
      <w:tr w:rsidR="00B50826" w14:paraId="33F9D94E" w14:textId="77777777">
        <w:tc>
          <w:tcPr>
            <w:tcW w:w="0" w:type="auto"/>
          </w:tcPr>
          <w:p w14:paraId="09E3BA48"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activa</w:t>
            </w:r>
          </w:p>
        </w:tc>
        <w:tc>
          <w:tcPr>
            <w:tcW w:w="0" w:type="auto"/>
          </w:tcPr>
          <w:p w14:paraId="006E0B5E"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18B6B2E6"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14</w:t>
            </w:r>
          </w:p>
        </w:tc>
      </w:tr>
      <w:tr w:rsidR="00B50826" w14:paraId="2D137D6D" w14:textId="77777777">
        <w:tc>
          <w:tcPr>
            <w:tcW w:w="0" w:type="auto"/>
          </w:tcPr>
          <w:p w14:paraId="131249B6"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pasiva</w:t>
            </w:r>
          </w:p>
        </w:tc>
        <w:tc>
          <w:tcPr>
            <w:tcW w:w="0" w:type="auto"/>
          </w:tcPr>
          <w:p w14:paraId="3FA28812"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594AFE88"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15</w:t>
            </w:r>
          </w:p>
        </w:tc>
      </w:tr>
      <w:tr w:rsidR="00B50826" w14:paraId="23964451" w14:textId="77777777">
        <w:tc>
          <w:tcPr>
            <w:tcW w:w="0" w:type="auto"/>
          </w:tcPr>
          <w:p w14:paraId="5FBF8627"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total</w:t>
            </w:r>
          </w:p>
        </w:tc>
        <w:tc>
          <w:tcPr>
            <w:tcW w:w="0" w:type="auto"/>
          </w:tcPr>
          <w:p w14:paraId="518A71EA"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4740FF7D"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29</w:t>
            </w:r>
          </w:p>
        </w:tc>
      </w:tr>
      <w:tr w:rsidR="00B50826" w14:paraId="71C16D5A" w14:textId="77777777">
        <w:tc>
          <w:tcPr>
            <w:tcW w:w="0" w:type="auto"/>
          </w:tcPr>
          <w:p w14:paraId="56C78C19"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Intensidad</w:t>
            </w:r>
          </w:p>
        </w:tc>
        <w:tc>
          <w:tcPr>
            <w:tcW w:w="0" w:type="auto"/>
          </w:tcPr>
          <w:p w14:paraId="40568F85"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Migración</w:t>
            </w:r>
          </w:p>
        </w:tc>
        <w:tc>
          <w:tcPr>
            <w:tcW w:w="0" w:type="auto"/>
          </w:tcPr>
          <w:p w14:paraId="53CCC57F"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3.000000</w:t>
            </w:r>
          </w:p>
        </w:tc>
      </w:tr>
      <w:tr w:rsidR="00B50826" w14:paraId="1DED1405" w14:textId="77777777">
        <w:tc>
          <w:tcPr>
            <w:tcW w:w="0" w:type="auto"/>
          </w:tcPr>
          <w:p w14:paraId="248D1C32"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Betweenss</w:t>
            </w:r>
            <w:proofErr w:type="spellEnd"/>
          </w:p>
        </w:tc>
        <w:tc>
          <w:tcPr>
            <w:tcW w:w="0" w:type="auto"/>
          </w:tcPr>
          <w:p w14:paraId="547F5F70"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357D2B26"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228.8808608</w:t>
            </w:r>
          </w:p>
        </w:tc>
      </w:tr>
      <w:tr w:rsidR="00B50826" w14:paraId="487E70F8" w14:textId="77777777">
        <w:tc>
          <w:tcPr>
            <w:tcW w:w="0" w:type="auto"/>
          </w:tcPr>
          <w:p w14:paraId="2B25B4AC"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Closeness</w:t>
            </w:r>
            <w:proofErr w:type="spellEnd"/>
          </w:p>
        </w:tc>
        <w:tc>
          <w:tcPr>
            <w:tcW w:w="0" w:type="auto"/>
          </w:tcPr>
          <w:p w14:paraId="6090EE71"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Mercado Internacional</w:t>
            </w:r>
          </w:p>
        </w:tc>
        <w:tc>
          <w:tcPr>
            <w:tcW w:w="0" w:type="auto"/>
          </w:tcPr>
          <w:p w14:paraId="33185B97"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0.0086957</w:t>
            </w:r>
          </w:p>
        </w:tc>
      </w:tr>
      <w:tr w:rsidR="00B50826" w14:paraId="6CF3B73F" w14:textId="77777777">
        <w:tc>
          <w:tcPr>
            <w:tcW w:w="0" w:type="auto"/>
          </w:tcPr>
          <w:p w14:paraId="35C0AE04"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Eignvector</w:t>
            </w:r>
            <w:proofErr w:type="spellEnd"/>
          </w:p>
        </w:tc>
        <w:tc>
          <w:tcPr>
            <w:tcW w:w="0" w:type="auto"/>
          </w:tcPr>
          <w:p w14:paraId="3BE093B7"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318F992A"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1..0000000</w:t>
            </w:r>
          </w:p>
        </w:tc>
      </w:tr>
    </w:tbl>
    <w:p w14:paraId="5CC9E7AB" w14:textId="77777777" w:rsidR="00B50826" w:rsidRDefault="00B50826">
      <w:pPr>
        <w:pBdr>
          <w:top w:val="nil"/>
          <w:left w:val="nil"/>
          <w:bottom w:val="nil"/>
          <w:right w:val="nil"/>
          <w:between w:val="nil"/>
        </w:pBdr>
        <w:ind w:left="720"/>
        <w:jc w:val="center"/>
        <w:rPr>
          <w:rFonts w:ascii="Arial" w:eastAsia="Arial" w:hAnsi="Arial" w:cs="Arial"/>
          <w:b/>
          <w:color w:val="002060"/>
        </w:rPr>
      </w:pPr>
    </w:p>
    <w:p w14:paraId="48C967A8" w14:textId="77777777" w:rsidR="00B50826" w:rsidRDefault="00B50826">
      <w:pPr>
        <w:pBdr>
          <w:top w:val="nil"/>
          <w:left w:val="nil"/>
          <w:bottom w:val="nil"/>
          <w:right w:val="nil"/>
          <w:between w:val="nil"/>
        </w:pBdr>
        <w:ind w:left="720"/>
        <w:jc w:val="both"/>
        <w:rPr>
          <w:rFonts w:ascii="Arial" w:eastAsia="Arial" w:hAnsi="Arial" w:cs="Arial"/>
          <w:b/>
          <w:color w:val="002060"/>
        </w:rPr>
      </w:pPr>
    </w:p>
    <w:p w14:paraId="719A7E61" w14:textId="77777777" w:rsidR="00B50826" w:rsidRDefault="00006AE2">
      <w:pPr>
        <w:rPr>
          <w:rFonts w:ascii="Arial" w:eastAsia="Arial" w:hAnsi="Arial" w:cs="Arial"/>
          <w:b/>
          <w:color w:val="002060"/>
          <w:sz w:val="20"/>
          <w:szCs w:val="20"/>
        </w:rPr>
      </w:pPr>
      <w:r>
        <w:rPr>
          <w:rFonts w:ascii="Arial" w:eastAsia="Arial" w:hAnsi="Arial" w:cs="Arial"/>
          <w:b/>
          <w:color w:val="002060"/>
          <w:sz w:val="20"/>
          <w:szCs w:val="20"/>
        </w:rPr>
        <w:t>ANÁLISIS DE REDES DE CAUSAS DE LA DEFORESTACIÓN – CODO DEL POZUZO</w:t>
      </w:r>
    </w:p>
    <w:p w14:paraId="4EEF5416" w14:textId="77777777" w:rsidR="00B50826" w:rsidRDefault="00B50826">
      <w:pPr>
        <w:jc w:val="both"/>
        <w:rPr>
          <w:rFonts w:ascii="Arial" w:eastAsia="Arial" w:hAnsi="Arial" w:cs="Arial"/>
          <w:color w:val="002060"/>
          <w:sz w:val="20"/>
          <w:szCs w:val="20"/>
        </w:rPr>
      </w:pPr>
    </w:p>
    <w:p w14:paraId="4E79ABC7"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el taller realizado en la localidad de Codo del Pozuzo (sub regional), de acuerdo a la metodología DRIVE NET, se han identificados 24 causas (directas e indirectas) de deforestación, en la cual después del desarrollo de la matriz binaria donde se ponderó la intensidad de relación entre causas y en base a esa matriz binaria desarrollada, se obtuvo el diagrama de influencia y las redes.</w:t>
      </w:r>
    </w:p>
    <w:p w14:paraId="2CBFDEB1" w14:textId="77777777" w:rsidR="00B50826" w:rsidRDefault="00B50826">
      <w:pPr>
        <w:jc w:val="both"/>
        <w:rPr>
          <w:rFonts w:ascii="Arial" w:eastAsia="Arial" w:hAnsi="Arial" w:cs="Arial"/>
          <w:b/>
          <w:color w:val="002060"/>
        </w:rPr>
      </w:pPr>
    </w:p>
    <w:p w14:paraId="57CEE745" w14:textId="77777777" w:rsidR="00B50826" w:rsidRDefault="00006AE2">
      <w:pPr>
        <w:ind w:right="-426" w:hanging="426"/>
        <w:jc w:val="center"/>
        <w:rPr>
          <w:rFonts w:ascii="Arial" w:eastAsia="Arial" w:hAnsi="Arial" w:cs="Arial"/>
          <w:b/>
          <w:color w:val="002060"/>
        </w:rPr>
      </w:pPr>
      <w:r>
        <w:rPr>
          <w:noProof/>
        </w:rPr>
        <w:drawing>
          <wp:inline distT="0" distB="0" distL="0" distR="0" wp14:anchorId="050587B0" wp14:editId="40331A84">
            <wp:extent cx="5059045" cy="3018155"/>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t="1631" r="1874"/>
                    <a:stretch>
                      <a:fillRect/>
                    </a:stretch>
                  </pic:blipFill>
                  <pic:spPr>
                    <a:xfrm>
                      <a:off x="0" y="0"/>
                      <a:ext cx="5059148" cy="3018422"/>
                    </a:xfrm>
                    <a:prstGeom prst="rect">
                      <a:avLst/>
                    </a:prstGeom>
                    <a:ln/>
                  </pic:spPr>
                </pic:pic>
              </a:graphicData>
            </a:graphic>
          </wp:inline>
        </w:drawing>
      </w:r>
    </w:p>
    <w:p w14:paraId="378B1A08" w14:textId="77777777" w:rsidR="00B50826" w:rsidRDefault="00B50826">
      <w:pPr>
        <w:ind w:right="-426" w:hanging="426"/>
        <w:jc w:val="both"/>
        <w:rPr>
          <w:rFonts w:ascii="Arial" w:eastAsia="Arial" w:hAnsi="Arial" w:cs="Arial"/>
          <w:b/>
          <w:color w:val="002060"/>
        </w:rPr>
      </w:pPr>
    </w:p>
    <w:p w14:paraId="6E72882F" w14:textId="77777777" w:rsidR="00B50826" w:rsidRDefault="00006AE2">
      <w:pPr>
        <w:ind w:right="-426" w:hanging="426"/>
        <w:jc w:val="center"/>
        <w:rPr>
          <w:rFonts w:ascii="Arial" w:eastAsia="Arial" w:hAnsi="Arial" w:cs="Arial"/>
          <w:b/>
          <w:color w:val="002060"/>
        </w:rPr>
      </w:pPr>
      <w:r>
        <w:rPr>
          <w:noProof/>
        </w:rPr>
        <w:lastRenderedPageBreak/>
        <w:drawing>
          <wp:inline distT="0" distB="0" distL="0" distR="0" wp14:anchorId="038D20E9" wp14:editId="58342DC9">
            <wp:extent cx="4730750" cy="2827020"/>
            <wp:effectExtent l="0" t="0" r="0" b="0"/>
            <wp:docPr id="2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4730865" cy="2827040"/>
                    </a:xfrm>
                    <a:prstGeom prst="rect">
                      <a:avLst/>
                    </a:prstGeom>
                    <a:ln/>
                  </pic:spPr>
                </pic:pic>
              </a:graphicData>
            </a:graphic>
          </wp:inline>
        </w:drawing>
      </w:r>
    </w:p>
    <w:p w14:paraId="3ADF66C4" w14:textId="77777777" w:rsidR="00B50826" w:rsidRDefault="00B50826">
      <w:pPr>
        <w:jc w:val="both"/>
        <w:rPr>
          <w:rFonts w:ascii="Arial" w:eastAsia="Arial" w:hAnsi="Arial" w:cs="Arial"/>
          <w:color w:val="002060"/>
          <w:sz w:val="20"/>
          <w:szCs w:val="20"/>
        </w:rPr>
      </w:pPr>
    </w:p>
    <w:p w14:paraId="27763210"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la cual, como se puede observar en el diagrama de influencia y la red de influencia activa, resaltan las causas más influyentes y dependientes a los </w:t>
      </w:r>
      <w:r>
        <w:rPr>
          <w:rFonts w:ascii="Arial" w:eastAsia="Arial" w:hAnsi="Arial" w:cs="Arial"/>
          <w:b/>
          <w:color w:val="002060"/>
          <w:sz w:val="20"/>
          <w:szCs w:val="20"/>
        </w:rPr>
        <w:t xml:space="preserve">ingresos/capital, precio, tráfico de tierras, programa de inversión pública y control y vigilancia, </w:t>
      </w:r>
      <w:r>
        <w:rPr>
          <w:rFonts w:ascii="Arial" w:eastAsia="Arial" w:hAnsi="Arial" w:cs="Arial"/>
          <w:color w:val="002060"/>
          <w:sz w:val="20"/>
          <w:szCs w:val="20"/>
        </w:rPr>
        <w:t>a su vez son puntos de apalancamiento principal</w:t>
      </w:r>
      <w:r>
        <w:rPr>
          <w:rFonts w:ascii="Arial" w:eastAsia="Arial" w:hAnsi="Arial" w:cs="Arial"/>
          <w:b/>
          <w:color w:val="002060"/>
          <w:sz w:val="20"/>
          <w:szCs w:val="20"/>
        </w:rPr>
        <w:t>,</w:t>
      </w:r>
      <w:r>
        <w:rPr>
          <w:rFonts w:ascii="Arial" w:eastAsia="Arial" w:hAnsi="Arial" w:cs="Arial"/>
          <w:color w:val="002060"/>
          <w:sz w:val="20"/>
          <w:szCs w:val="20"/>
        </w:rPr>
        <w:t xml:space="preserve"> así mismo en el gráfico de redes se puede observar a </w:t>
      </w:r>
      <w:r>
        <w:rPr>
          <w:rFonts w:ascii="Arial" w:eastAsia="Arial" w:hAnsi="Arial" w:cs="Arial"/>
          <w:b/>
          <w:color w:val="002060"/>
          <w:sz w:val="20"/>
          <w:szCs w:val="20"/>
        </w:rPr>
        <w:t xml:space="preserve">control y vigilancia y programa de inversión pública </w:t>
      </w:r>
      <w:r>
        <w:rPr>
          <w:rFonts w:ascii="Arial" w:eastAsia="Arial" w:hAnsi="Arial" w:cs="Arial"/>
          <w:color w:val="002060"/>
          <w:sz w:val="20"/>
          <w:szCs w:val="20"/>
        </w:rPr>
        <w:t>como causas más importantes, porque son las que más influencian de manera directa e indirecta en el sistema,  comportándose también como conectores de otras causas, por sus elevados niveles de conectividad.</w:t>
      </w:r>
    </w:p>
    <w:p w14:paraId="7C6B66E0" w14:textId="77777777" w:rsidR="00B50826" w:rsidRDefault="00B50826">
      <w:pPr>
        <w:jc w:val="both"/>
        <w:rPr>
          <w:rFonts w:ascii="Arial" w:eastAsia="Arial" w:hAnsi="Arial" w:cs="Arial"/>
          <w:color w:val="002060"/>
          <w:sz w:val="20"/>
          <w:szCs w:val="20"/>
        </w:rPr>
      </w:pPr>
    </w:p>
    <w:p w14:paraId="3F56A220" w14:textId="77777777" w:rsidR="00B50826" w:rsidRDefault="00006AE2">
      <w:pPr>
        <w:numPr>
          <w:ilvl w:val="0"/>
          <w:numId w:val="1"/>
        </w:numPr>
        <w:pBdr>
          <w:top w:val="nil"/>
          <w:left w:val="nil"/>
          <w:bottom w:val="nil"/>
          <w:right w:val="nil"/>
          <w:between w:val="nil"/>
        </w:pBdr>
        <w:spacing w:line="259" w:lineRule="auto"/>
        <w:ind w:left="360"/>
        <w:jc w:val="both"/>
        <w:rPr>
          <w:rFonts w:ascii="Arial" w:eastAsia="Arial" w:hAnsi="Arial" w:cs="Arial"/>
          <w:b/>
          <w:color w:val="002060"/>
          <w:sz w:val="20"/>
          <w:szCs w:val="20"/>
        </w:rPr>
      </w:pPr>
      <w:r>
        <w:rPr>
          <w:rFonts w:ascii="Arial" w:eastAsia="Arial" w:hAnsi="Arial" w:cs="Arial"/>
          <w:b/>
          <w:color w:val="002060"/>
          <w:sz w:val="20"/>
          <w:szCs w:val="20"/>
        </w:rPr>
        <w:t xml:space="preserve">Puntos de apalancamiento </w:t>
      </w:r>
    </w:p>
    <w:p w14:paraId="79967E1D" w14:textId="77777777" w:rsidR="00B50826" w:rsidRDefault="00006AE2">
      <w:pPr>
        <w:pBdr>
          <w:top w:val="nil"/>
          <w:left w:val="nil"/>
          <w:bottom w:val="nil"/>
          <w:right w:val="nil"/>
          <w:between w:val="nil"/>
        </w:pBdr>
        <w:ind w:left="360"/>
        <w:jc w:val="both"/>
        <w:rPr>
          <w:rFonts w:ascii="Arial" w:eastAsia="Arial" w:hAnsi="Arial" w:cs="Arial"/>
          <w:color w:val="002060"/>
          <w:sz w:val="20"/>
          <w:szCs w:val="20"/>
        </w:rPr>
      </w:pPr>
      <w:r>
        <w:rPr>
          <w:rFonts w:ascii="Arial" w:eastAsia="Arial" w:hAnsi="Arial" w:cs="Arial"/>
          <w:color w:val="002060"/>
          <w:sz w:val="20"/>
          <w:szCs w:val="20"/>
        </w:rPr>
        <w:t xml:space="preserve">Según el diagrama de influencia de causas, en el cuadrante superior derecho muestra a las causas como: </w:t>
      </w:r>
      <w:r>
        <w:rPr>
          <w:rFonts w:ascii="Arial" w:eastAsia="Arial" w:hAnsi="Arial" w:cs="Arial"/>
          <w:b/>
          <w:color w:val="002060"/>
          <w:sz w:val="20"/>
          <w:szCs w:val="20"/>
        </w:rPr>
        <w:t>ingresos/capital, precio, tráfico de tierras, programa de inversión pública y control y vigilancia</w:t>
      </w:r>
      <w:r>
        <w:rPr>
          <w:rFonts w:ascii="Arial" w:eastAsia="Arial" w:hAnsi="Arial" w:cs="Arial"/>
          <w:color w:val="002060"/>
          <w:sz w:val="20"/>
          <w:szCs w:val="20"/>
        </w:rPr>
        <w:t xml:space="preserve"> más influyentes y dependientes en el sistema de redes.</w:t>
      </w:r>
    </w:p>
    <w:p w14:paraId="1D710C3C" w14:textId="77777777" w:rsidR="00B50826" w:rsidRDefault="00B50826">
      <w:pPr>
        <w:pBdr>
          <w:top w:val="nil"/>
          <w:left w:val="nil"/>
          <w:bottom w:val="nil"/>
          <w:right w:val="nil"/>
          <w:between w:val="nil"/>
        </w:pBdr>
        <w:ind w:left="360"/>
        <w:jc w:val="both"/>
        <w:rPr>
          <w:rFonts w:ascii="Arial" w:eastAsia="Arial" w:hAnsi="Arial" w:cs="Arial"/>
          <w:color w:val="002060"/>
          <w:sz w:val="20"/>
          <w:szCs w:val="20"/>
        </w:rPr>
      </w:pPr>
    </w:p>
    <w:p w14:paraId="14EF0A47" w14:textId="77777777" w:rsidR="00B50826" w:rsidRDefault="00006AE2">
      <w:pPr>
        <w:numPr>
          <w:ilvl w:val="1"/>
          <w:numId w:val="1"/>
        </w:numPr>
        <w:pBdr>
          <w:top w:val="nil"/>
          <w:left w:val="nil"/>
          <w:bottom w:val="nil"/>
          <w:right w:val="nil"/>
          <w:between w:val="nil"/>
        </w:pBdr>
        <w:spacing w:line="259" w:lineRule="auto"/>
        <w:ind w:left="1080"/>
        <w:jc w:val="both"/>
        <w:rPr>
          <w:rFonts w:ascii="Arial" w:eastAsia="Arial" w:hAnsi="Arial" w:cs="Arial"/>
          <w:b/>
          <w:color w:val="002060"/>
          <w:sz w:val="20"/>
          <w:szCs w:val="20"/>
        </w:rPr>
      </w:pPr>
      <w:r>
        <w:rPr>
          <w:rFonts w:ascii="Arial" w:eastAsia="Arial" w:hAnsi="Arial" w:cs="Arial"/>
          <w:b/>
          <w:color w:val="002060"/>
          <w:sz w:val="20"/>
          <w:szCs w:val="20"/>
        </w:rPr>
        <w:t xml:space="preserve">Control y vigilancia. </w:t>
      </w:r>
      <w:r>
        <w:rPr>
          <w:rFonts w:ascii="Arial" w:eastAsia="Arial" w:hAnsi="Arial" w:cs="Arial"/>
          <w:color w:val="002060"/>
          <w:sz w:val="20"/>
          <w:szCs w:val="20"/>
        </w:rPr>
        <w:t xml:space="preserve">Es una causa que opera a una escala regional, es la más influyente del sistema de manera directa e indirecta siendo también una de las causas más importantes, actúa también como filtro mediador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de mayor valor. </w:t>
      </w:r>
    </w:p>
    <w:p w14:paraId="316A0D47" w14:textId="77777777" w:rsidR="00B50826" w:rsidRDefault="00B50826">
      <w:pPr>
        <w:pBdr>
          <w:top w:val="nil"/>
          <w:left w:val="nil"/>
          <w:bottom w:val="nil"/>
          <w:right w:val="nil"/>
          <w:between w:val="nil"/>
        </w:pBdr>
        <w:ind w:left="1080" w:hanging="720"/>
        <w:jc w:val="both"/>
        <w:rPr>
          <w:rFonts w:ascii="Arial" w:eastAsia="Arial" w:hAnsi="Arial" w:cs="Arial"/>
          <w:b/>
          <w:color w:val="002060"/>
          <w:sz w:val="20"/>
          <w:szCs w:val="20"/>
        </w:rPr>
      </w:pPr>
    </w:p>
    <w:p w14:paraId="4C8C1B35" w14:textId="77777777" w:rsidR="00B50826" w:rsidRDefault="00006AE2">
      <w:pPr>
        <w:numPr>
          <w:ilvl w:val="1"/>
          <w:numId w:val="1"/>
        </w:numPr>
        <w:pBdr>
          <w:top w:val="nil"/>
          <w:left w:val="nil"/>
          <w:bottom w:val="nil"/>
          <w:right w:val="nil"/>
          <w:between w:val="nil"/>
        </w:pBdr>
        <w:spacing w:line="259" w:lineRule="auto"/>
        <w:ind w:left="1080"/>
        <w:jc w:val="both"/>
        <w:rPr>
          <w:rFonts w:ascii="Arial" w:eastAsia="Arial" w:hAnsi="Arial" w:cs="Arial"/>
          <w:b/>
          <w:color w:val="002060"/>
          <w:sz w:val="20"/>
          <w:szCs w:val="20"/>
        </w:rPr>
      </w:pPr>
      <w:r>
        <w:rPr>
          <w:rFonts w:ascii="Arial" w:eastAsia="Arial" w:hAnsi="Arial" w:cs="Arial"/>
          <w:b/>
          <w:color w:val="002060"/>
          <w:sz w:val="20"/>
          <w:szCs w:val="20"/>
        </w:rPr>
        <w:t xml:space="preserve">Programa de inversión pública. </w:t>
      </w:r>
      <w:r>
        <w:rPr>
          <w:rFonts w:ascii="Arial" w:eastAsia="Arial" w:hAnsi="Arial" w:cs="Arial"/>
          <w:color w:val="002060"/>
          <w:sz w:val="20"/>
          <w:szCs w:val="20"/>
        </w:rPr>
        <w:t xml:space="preserve">Es una causa que opera a escala local, influencia el sistema a través de su influencia directa e indirecta sobre otras causas, teniendo así el grado de centralidad, apreciándose con altos valoras como conectora de las demás causas,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segunda de mayor valor. </w:t>
      </w:r>
    </w:p>
    <w:p w14:paraId="35FCA5DC" w14:textId="77777777" w:rsidR="00B50826" w:rsidRDefault="00006AE2">
      <w:pPr>
        <w:numPr>
          <w:ilvl w:val="1"/>
          <w:numId w:val="1"/>
        </w:numPr>
        <w:pBdr>
          <w:top w:val="nil"/>
          <w:left w:val="nil"/>
          <w:bottom w:val="nil"/>
          <w:right w:val="nil"/>
          <w:between w:val="nil"/>
        </w:pBdr>
        <w:spacing w:line="259" w:lineRule="auto"/>
        <w:ind w:left="1080"/>
        <w:rPr>
          <w:rFonts w:ascii="Arial" w:eastAsia="Arial" w:hAnsi="Arial" w:cs="Arial"/>
          <w:color w:val="002060"/>
          <w:sz w:val="20"/>
          <w:szCs w:val="20"/>
        </w:rPr>
      </w:pPr>
      <w:r>
        <w:rPr>
          <w:rFonts w:ascii="Arial" w:eastAsia="Arial" w:hAnsi="Arial" w:cs="Arial"/>
          <w:b/>
          <w:color w:val="002060"/>
          <w:sz w:val="20"/>
          <w:szCs w:val="20"/>
        </w:rPr>
        <w:t xml:space="preserve">Precio. </w:t>
      </w:r>
      <w:r>
        <w:rPr>
          <w:rFonts w:ascii="Arial" w:eastAsia="Arial" w:hAnsi="Arial" w:cs="Arial"/>
          <w:color w:val="002060"/>
          <w:sz w:val="20"/>
          <w:szCs w:val="20"/>
        </w:rPr>
        <w:t xml:space="preserve">Es una causa que opera a escala nacional, a su vez como de conexión catalizador entre causas más ligadas a ingreso/capital, programa de inversión pública, mercado interno y mercado internacional. </w:t>
      </w:r>
    </w:p>
    <w:p w14:paraId="3873A816" w14:textId="77777777" w:rsidR="00B50826" w:rsidRDefault="00B50826">
      <w:pPr>
        <w:pBdr>
          <w:top w:val="nil"/>
          <w:left w:val="nil"/>
          <w:bottom w:val="nil"/>
          <w:right w:val="nil"/>
          <w:between w:val="nil"/>
        </w:pBdr>
        <w:ind w:left="1080" w:hanging="720"/>
        <w:rPr>
          <w:rFonts w:ascii="Arial" w:eastAsia="Arial" w:hAnsi="Arial" w:cs="Arial"/>
          <w:color w:val="002060"/>
          <w:sz w:val="20"/>
          <w:szCs w:val="20"/>
        </w:rPr>
      </w:pPr>
    </w:p>
    <w:p w14:paraId="4804328D" w14:textId="77777777" w:rsidR="00B50826" w:rsidRDefault="00006AE2">
      <w:pPr>
        <w:numPr>
          <w:ilvl w:val="1"/>
          <w:numId w:val="1"/>
        </w:numPr>
        <w:pBdr>
          <w:top w:val="nil"/>
          <w:left w:val="nil"/>
          <w:bottom w:val="nil"/>
          <w:right w:val="nil"/>
          <w:between w:val="nil"/>
        </w:pBdr>
        <w:spacing w:line="259" w:lineRule="auto"/>
        <w:ind w:left="1080"/>
        <w:rPr>
          <w:rFonts w:ascii="Arial" w:eastAsia="Arial" w:hAnsi="Arial" w:cs="Arial"/>
          <w:color w:val="002060"/>
          <w:sz w:val="20"/>
          <w:szCs w:val="20"/>
        </w:rPr>
      </w:pPr>
      <w:r>
        <w:rPr>
          <w:rFonts w:ascii="Arial" w:eastAsia="Arial" w:hAnsi="Arial" w:cs="Arial"/>
          <w:b/>
          <w:color w:val="002060"/>
          <w:sz w:val="20"/>
          <w:szCs w:val="20"/>
        </w:rPr>
        <w:t xml:space="preserve">Tráfico de tierras. </w:t>
      </w:r>
      <w:r>
        <w:rPr>
          <w:rFonts w:ascii="Arial" w:eastAsia="Arial" w:hAnsi="Arial" w:cs="Arial"/>
          <w:color w:val="002060"/>
          <w:sz w:val="20"/>
          <w:szCs w:val="20"/>
        </w:rPr>
        <w:t xml:space="preserve">Es una causa que opera a una escala local, influencia el sistema a través de su influencia directa sobre otras causas, apreciándose con altos valoras como conectora de las demás causas,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de mayor valor. </w:t>
      </w:r>
    </w:p>
    <w:p w14:paraId="64142DE7" w14:textId="77777777" w:rsidR="00B50826" w:rsidRDefault="00B50826">
      <w:pPr>
        <w:pBdr>
          <w:top w:val="nil"/>
          <w:left w:val="nil"/>
          <w:bottom w:val="nil"/>
          <w:right w:val="nil"/>
          <w:between w:val="nil"/>
        </w:pBdr>
        <w:ind w:left="1440" w:hanging="720"/>
        <w:jc w:val="both"/>
        <w:rPr>
          <w:rFonts w:ascii="Arial" w:eastAsia="Arial" w:hAnsi="Arial" w:cs="Arial"/>
          <w:b/>
          <w:color w:val="002060"/>
          <w:sz w:val="20"/>
          <w:szCs w:val="20"/>
        </w:rPr>
      </w:pPr>
    </w:p>
    <w:p w14:paraId="7531D939"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Finalmente se deduce de este análisis que las causas más influyentes de manera directa e indirecta, a su vez las más importantes a </w:t>
      </w:r>
      <w:r>
        <w:rPr>
          <w:rFonts w:ascii="Arial" w:eastAsia="Arial" w:hAnsi="Arial" w:cs="Arial"/>
          <w:b/>
          <w:color w:val="002060"/>
          <w:sz w:val="20"/>
          <w:szCs w:val="20"/>
        </w:rPr>
        <w:t xml:space="preserve">control y vigilancia y programa de inversión pública, </w:t>
      </w:r>
      <w:r>
        <w:rPr>
          <w:rFonts w:ascii="Arial" w:eastAsia="Arial" w:hAnsi="Arial" w:cs="Arial"/>
          <w:color w:val="002060"/>
          <w:sz w:val="20"/>
          <w:szCs w:val="20"/>
        </w:rPr>
        <w:t>por el grado de centralidad que hay con las demás causas.</w:t>
      </w:r>
    </w:p>
    <w:p w14:paraId="1467458A" w14:textId="77777777" w:rsidR="00B50826" w:rsidRDefault="00B50826">
      <w:pPr>
        <w:jc w:val="both"/>
        <w:rPr>
          <w:rFonts w:ascii="Arial" w:eastAsia="Arial" w:hAnsi="Arial" w:cs="Arial"/>
          <w:b/>
          <w:color w:val="002060"/>
          <w:sz w:val="20"/>
          <w:szCs w:val="20"/>
        </w:rPr>
      </w:pPr>
    </w:p>
    <w:p w14:paraId="58E36CEA" w14:textId="77777777" w:rsidR="00B50826" w:rsidRDefault="00006AE2">
      <w:pPr>
        <w:numPr>
          <w:ilvl w:val="0"/>
          <w:numId w:val="1"/>
        </w:numPr>
        <w:pBdr>
          <w:top w:val="nil"/>
          <w:left w:val="nil"/>
          <w:bottom w:val="nil"/>
          <w:right w:val="nil"/>
          <w:between w:val="nil"/>
        </w:pBdr>
        <w:spacing w:line="259" w:lineRule="auto"/>
        <w:jc w:val="both"/>
        <w:rPr>
          <w:rFonts w:ascii="Arial" w:eastAsia="Arial" w:hAnsi="Arial" w:cs="Arial"/>
          <w:b/>
          <w:color w:val="002060"/>
          <w:sz w:val="20"/>
          <w:szCs w:val="20"/>
        </w:rPr>
      </w:pPr>
      <w:r>
        <w:rPr>
          <w:rFonts w:ascii="Arial" w:eastAsia="Arial" w:hAnsi="Arial" w:cs="Arial"/>
          <w:b/>
          <w:color w:val="002060"/>
          <w:sz w:val="20"/>
          <w:szCs w:val="20"/>
        </w:rPr>
        <w:t>Valores relevantes de las causas en su importancia de la medición de nodos.</w:t>
      </w:r>
    </w:p>
    <w:p w14:paraId="27D6262D" w14:textId="77777777" w:rsidR="00B50826" w:rsidRDefault="00B50826">
      <w:pPr>
        <w:pBdr>
          <w:top w:val="nil"/>
          <w:left w:val="nil"/>
          <w:bottom w:val="nil"/>
          <w:right w:val="nil"/>
          <w:between w:val="nil"/>
        </w:pBdr>
        <w:ind w:left="720"/>
        <w:jc w:val="center"/>
        <w:rPr>
          <w:rFonts w:ascii="Arial" w:eastAsia="Arial" w:hAnsi="Arial" w:cs="Arial"/>
          <w:b/>
          <w:color w:val="002060"/>
          <w:sz w:val="20"/>
          <w:szCs w:val="20"/>
        </w:rPr>
      </w:pPr>
    </w:p>
    <w:tbl>
      <w:tblPr>
        <w:tblStyle w:val="aff6"/>
        <w:tblW w:w="0" w:type="auto"/>
        <w:tblInd w:w="0" w:type="dxa"/>
        <w:tblLook w:val="0400" w:firstRow="0" w:lastRow="0" w:firstColumn="0" w:lastColumn="0" w:noHBand="0" w:noVBand="1"/>
      </w:tblPr>
      <w:tblGrid>
        <w:gridCol w:w="1219"/>
        <w:gridCol w:w="1587"/>
        <w:gridCol w:w="664"/>
      </w:tblGrid>
      <w:tr w:rsidR="00B50826" w14:paraId="33C3C28A" w14:textId="77777777">
        <w:tc>
          <w:tcPr>
            <w:tcW w:w="0" w:type="auto"/>
          </w:tcPr>
          <w:p w14:paraId="5D8345AB" w14:textId="77777777" w:rsidR="00B50826" w:rsidRDefault="00B50826">
            <w:pPr>
              <w:pBdr>
                <w:top w:val="nil"/>
                <w:left w:val="nil"/>
                <w:bottom w:val="nil"/>
                <w:right w:val="nil"/>
                <w:between w:val="nil"/>
              </w:pBdr>
              <w:ind w:hanging="720"/>
              <w:jc w:val="center"/>
              <w:rPr>
                <w:rFonts w:ascii="Arial" w:eastAsia="Arial" w:hAnsi="Arial" w:cs="Arial"/>
                <w:b/>
                <w:color w:val="002060"/>
                <w:sz w:val="20"/>
                <w:szCs w:val="20"/>
              </w:rPr>
            </w:pPr>
          </w:p>
        </w:tc>
        <w:tc>
          <w:tcPr>
            <w:tcW w:w="0" w:type="auto"/>
          </w:tcPr>
          <w:p w14:paraId="1014893D"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CAUSAS</w:t>
            </w:r>
          </w:p>
        </w:tc>
        <w:tc>
          <w:tcPr>
            <w:tcW w:w="0" w:type="auto"/>
          </w:tcPr>
          <w:p w14:paraId="7EE1B40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VALORES</w:t>
            </w:r>
          </w:p>
        </w:tc>
      </w:tr>
      <w:tr w:rsidR="00B50826" w14:paraId="204B96DE" w14:textId="77777777">
        <w:tc>
          <w:tcPr>
            <w:tcW w:w="0" w:type="auto"/>
          </w:tcPr>
          <w:p w14:paraId="780AEDE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activa</w:t>
            </w:r>
          </w:p>
        </w:tc>
        <w:tc>
          <w:tcPr>
            <w:tcW w:w="0" w:type="auto"/>
          </w:tcPr>
          <w:p w14:paraId="565521CA"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1AFE13D5"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10</w:t>
            </w:r>
          </w:p>
        </w:tc>
      </w:tr>
      <w:tr w:rsidR="00B50826" w14:paraId="7256AC40" w14:textId="77777777">
        <w:tc>
          <w:tcPr>
            <w:tcW w:w="0" w:type="auto"/>
          </w:tcPr>
          <w:p w14:paraId="0EE776E0"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lastRenderedPageBreak/>
              <w:t>Influencia pasiva</w:t>
            </w:r>
          </w:p>
        </w:tc>
        <w:tc>
          <w:tcPr>
            <w:tcW w:w="0" w:type="auto"/>
          </w:tcPr>
          <w:p w14:paraId="60C83A00"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7C660EE7"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10</w:t>
            </w:r>
          </w:p>
        </w:tc>
      </w:tr>
      <w:tr w:rsidR="00B50826" w14:paraId="13DCA090" w14:textId="77777777">
        <w:tc>
          <w:tcPr>
            <w:tcW w:w="0" w:type="auto"/>
          </w:tcPr>
          <w:p w14:paraId="021B08AB"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total</w:t>
            </w:r>
          </w:p>
        </w:tc>
        <w:tc>
          <w:tcPr>
            <w:tcW w:w="0" w:type="auto"/>
          </w:tcPr>
          <w:p w14:paraId="62282D82"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3A66C692"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20</w:t>
            </w:r>
          </w:p>
        </w:tc>
      </w:tr>
      <w:tr w:rsidR="00B50826" w14:paraId="644F5381" w14:textId="77777777">
        <w:tc>
          <w:tcPr>
            <w:tcW w:w="0" w:type="auto"/>
          </w:tcPr>
          <w:p w14:paraId="12087FC5"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Intensidad</w:t>
            </w:r>
          </w:p>
        </w:tc>
        <w:tc>
          <w:tcPr>
            <w:tcW w:w="0" w:type="auto"/>
          </w:tcPr>
          <w:p w14:paraId="6B1A58AB"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Precio</w:t>
            </w:r>
          </w:p>
        </w:tc>
        <w:tc>
          <w:tcPr>
            <w:tcW w:w="0" w:type="auto"/>
          </w:tcPr>
          <w:p w14:paraId="6CC8897C"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2.750000</w:t>
            </w:r>
          </w:p>
        </w:tc>
      </w:tr>
      <w:tr w:rsidR="00B50826" w14:paraId="092D5605" w14:textId="77777777">
        <w:tc>
          <w:tcPr>
            <w:tcW w:w="0" w:type="auto"/>
          </w:tcPr>
          <w:p w14:paraId="524366A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Betweenss</w:t>
            </w:r>
            <w:proofErr w:type="spellEnd"/>
          </w:p>
        </w:tc>
        <w:tc>
          <w:tcPr>
            <w:tcW w:w="0" w:type="auto"/>
          </w:tcPr>
          <w:p w14:paraId="7EC54ED5"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726E367D"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155.047619</w:t>
            </w:r>
          </w:p>
        </w:tc>
      </w:tr>
      <w:tr w:rsidR="00B50826" w14:paraId="5CAC915D" w14:textId="77777777">
        <w:tc>
          <w:tcPr>
            <w:tcW w:w="0" w:type="auto"/>
          </w:tcPr>
          <w:p w14:paraId="2B49B3FE"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Closeness</w:t>
            </w:r>
            <w:proofErr w:type="spellEnd"/>
          </w:p>
        </w:tc>
        <w:tc>
          <w:tcPr>
            <w:tcW w:w="0" w:type="auto"/>
          </w:tcPr>
          <w:p w14:paraId="458AD743"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Mercado Internacional</w:t>
            </w:r>
          </w:p>
        </w:tc>
        <w:tc>
          <w:tcPr>
            <w:tcW w:w="0" w:type="auto"/>
          </w:tcPr>
          <w:p w14:paraId="7A7103D2"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0.0119048</w:t>
            </w:r>
          </w:p>
        </w:tc>
      </w:tr>
      <w:tr w:rsidR="00B50826" w14:paraId="5B662ECA" w14:textId="77777777">
        <w:tc>
          <w:tcPr>
            <w:tcW w:w="0" w:type="auto"/>
          </w:tcPr>
          <w:p w14:paraId="63518336"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Eignvector</w:t>
            </w:r>
            <w:proofErr w:type="spellEnd"/>
          </w:p>
        </w:tc>
        <w:tc>
          <w:tcPr>
            <w:tcW w:w="0" w:type="auto"/>
          </w:tcPr>
          <w:p w14:paraId="49239412"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tcPr>
          <w:p w14:paraId="74F44E21"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1.0000000</w:t>
            </w:r>
          </w:p>
        </w:tc>
      </w:tr>
    </w:tbl>
    <w:p w14:paraId="7A1DDD50" w14:textId="77777777" w:rsidR="00B50826" w:rsidRDefault="00B50826">
      <w:pPr>
        <w:pBdr>
          <w:top w:val="nil"/>
          <w:left w:val="nil"/>
          <w:bottom w:val="nil"/>
          <w:right w:val="nil"/>
          <w:between w:val="nil"/>
        </w:pBdr>
        <w:ind w:left="720"/>
        <w:jc w:val="center"/>
        <w:rPr>
          <w:rFonts w:ascii="Arial" w:eastAsia="Arial" w:hAnsi="Arial" w:cs="Arial"/>
          <w:b/>
          <w:color w:val="002060"/>
          <w:sz w:val="20"/>
          <w:szCs w:val="20"/>
        </w:rPr>
      </w:pPr>
    </w:p>
    <w:p w14:paraId="66C02F69" w14:textId="77777777" w:rsidR="00B50826" w:rsidRDefault="00B50826">
      <w:pPr>
        <w:pBdr>
          <w:top w:val="nil"/>
          <w:left w:val="nil"/>
          <w:bottom w:val="nil"/>
          <w:right w:val="nil"/>
          <w:between w:val="nil"/>
        </w:pBdr>
        <w:ind w:left="720"/>
        <w:jc w:val="both"/>
        <w:rPr>
          <w:rFonts w:ascii="Arial" w:eastAsia="Arial" w:hAnsi="Arial" w:cs="Arial"/>
          <w:b/>
          <w:color w:val="002060"/>
        </w:rPr>
      </w:pPr>
    </w:p>
    <w:p w14:paraId="75E7B7F7" w14:textId="77777777" w:rsidR="00B50826" w:rsidRDefault="00006AE2">
      <w:pPr>
        <w:rPr>
          <w:color w:val="002060"/>
        </w:rPr>
      </w:pPr>
      <w:r>
        <w:br w:type="page"/>
      </w:r>
    </w:p>
    <w:p w14:paraId="5589835A" w14:textId="77777777" w:rsidR="00B50826" w:rsidRDefault="00006AE2">
      <w:pPr>
        <w:jc w:val="both"/>
        <w:rPr>
          <w:rFonts w:ascii="Arial" w:eastAsia="Arial" w:hAnsi="Arial" w:cs="Arial"/>
          <w:b/>
          <w:color w:val="002060"/>
          <w:sz w:val="20"/>
          <w:szCs w:val="20"/>
        </w:rPr>
      </w:pPr>
      <w:r>
        <w:rPr>
          <w:rFonts w:ascii="Arial" w:eastAsia="Arial" w:hAnsi="Arial" w:cs="Arial"/>
          <w:b/>
          <w:color w:val="002060"/>
          <w:sz w:val="20"/>
          <w:szCs w:val="20"/>
        </w:rPr>
        <w:lastRenderedPageBreak/>
        <w:t>ANÁLISIS DE REDES DE CAUSAS DE LA DEFORESTACIÓN – PUCAYACU</w:t>
      </w:r>
    </w:p>
    <w:p w14:paraId="17810105"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En el taller realizado en la localidad de Puerto Inca (sub regional), de acuerdo a la metodología DRIVE NET, se han identificados 29 causas (directas e indirectas) de deforestación, en la cual después del desarrollo de la matriz binaria donde se ponderó la intensidad de relación entre causas y en base a esa matriz binaria desarrollada, se obtuvo el diagrama de influencia y las redes.</w:t>
      </w:r>
    </w:p>
    <w:p w14:paraId="4B10D0D1" w14:textId="77777777" w:rsidR="00B50826" w:rsidRDefault="00B50826">
      <w:pPr>
        <w:rPr>
          <w:color w:val="002060"/>
        </w:rPr>
      </w:pPr>
    </w:p>
    <w:p w14:paraId="5F27BE03" w14:textId="77777777" w:rsidR="00B50826" w:rsidRDefault="00006AE2">
      <w:pPr>
        <w:ind w:right="-284" w:hanging="709"/>
        <w:jc w:val="center"/>
        <w:rPr>
          <w:color w:val="002060"/>
        </w:rPr>
      </w:pPr>
      <w:r>
        <w:rPr>
          <w:noProof/>
        </w:rPr>
        <w:drawing>
          <wp:inline distT="0" distB="0" distL="0" distR="0" wp14:anchorId="64CD5920" wp14:editId="34E10A0D">
            <wp:extent cx="4442460" cy="2885440"/>
            <wp:effectExtent l="0" t="0" r="0" b="0"/>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4442772" cy="2885791"/>
                    </a:xfrm>
                    <a:prstGeom prst="rect">
                      <a:avLst/>
                    </a:prstGeom>
                    <a:ln/>
                  </pic:spPr>
                </pic:pic>
              </a:graphicData>
            </a:graphic>
          </wp:inline>
        </w:drawing>
      </w:r>
    </w:p>
    <w:p w14:paraId="12B15C00" w14:textId="77777777" w:rsidR="00B50826" w:rsidRDefault="00B50826">
      <w:pPr>
        <w:ind w:right="-284" w:hanging="709"/>
        <w:jc w:val="center"/>
        <w:rPr>
          <w:color w:val="002060"/>
        </w:rPr>
      </w:pPr>
    </w:p>
    <w:p w14:paraId="3923167C" w14:textId="77777777" w:rsidR="00B50826" w:rsidRDefault="00006AE2">
      <w:pPr>
        <w:ind w:right="-284" w:hanging="709"/>
        <w:jc w:val="center"/>
        <w:rPr>
          <w:color w:val="002060"/>
        </w:rPr>
      </w:pPr>
      <w:r>
        <w:rPr>
          <w:noProof/>
        </w:rPr>
        <w:drawing>
          <wp:inline distT="0" distB="0" distL="0" distR="0" wp14:anchorId="384B5E01" wp14:editId="3E621891">
            <wp:extent cx="4136390" cy="2842895"/>
            <wp:effectExtent l="0" t="0" r="0" b="0"/>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4137003" cy="2843514"/>
                    </a:xfrm>
                    <a:prstGeom prst="rect">
                      <a:avLst/>
                    </a:prstGeom>
                    <a:ln/>
                  </pic:spPr>
                </pic:pic>
              </a:graphicData>
            </a:graphic>
          </wp:inline>
        </w:drawing>
      </w:r>
    </w:p>
    <w:p w14:paraId="12226C84" w14:textId="77777777" w:rsidR="00B50826" w:rsidRDefault="00B50826">
      <w:pPr>
        <w:jc w:val="both"/>
        <w:rPr>
          <w:rFonts w:ascii="Arial" w:eastAsia="Arial" w:hAnsi="Arial" w:cs="Arial"/>
          <w:color w:val="002060"/>
          <w:sz w:val="20"/>
          <w:szCs w:val="20"/>
        </w:rPr>
      </w:pPr>
    </w:p>
    <w:p w14:paraId="4DA9B2C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En la cual, como se puede observar en el diagrama de influencia y la red de influencia activa, resaltan las causas más influyentes y dependientes a </w:t>
      </w:r>
      <w:r>
        <w:rPr>
          <w:rFonts w:ascii="Arial" w:eastAsia="Arial" w:hAnsi="Arial" w:cs="Arial"/>
          <w:b/>
          <w:color w:val="002060"/>
          <w:sz w:val="20"/>
          <w:szCs w:val="20"/>
        </w:rPr>
        <w:t xml:space="preserve">ingresos/ capital y control y vigilancia </w:t>
      </w:r>
      <w:r>
        <w:rPr>
          <w:rFonts w:ascii="Arial" w:eastAsia="Arial" w:hAnsi="Arial" w:cs="Arial"/>
          <w:color w:val="002060"/>
          <w:sz w:val="20"/>
          <w:szCs w:val="20"/>
        </w:rPr>
        <w:t>a su vez son puntos de apalancamiento principal</w:t>
      </w:r>
      <w:r>
        <w:rPr>
          <w:rFonts w:ascii="Arial" w:eastAsia="Arial" w:hAnsi="Arial" w:cs="Arial"/>
          <w:b/>
          <w:color w:val="002060"/>
          <w:sz w:val="20"/>
          <w:szCs w:val="20"/>
        </w:rPr>
        <w:t>,</w:t>
      </w:r>
      <w:r>
        <w:rPr>
          <w:rFonts w:ascii="Arial" w:eastAsia="Arial" w:hAnsi="Arial" w:cs="Arial"/>
          <w:color w:val="002060"/>
          <w:sz w:val="20"/>
          <w:szCs w:val="20"/>
        </w:rPr>
        <w:t xml:space="preserve"> así mismo en el gráfico de redes, estas métricas cuentan con números elevados de conexiones de redes entre ellas, actuando en el sistema como puentes de otras causas.</w:t>
      </w:r>
    </w:p>
    <w:p w14:paraId="023C90A8" w14:textId="77777777" w:rsidR="00B50826" w:rsidRDefault="00006AE2">
      <w:pPr>
        <w:jc w:val="both"/>
        <w:rPr>
          <w:rFonts w:ascii="Arial" w:eastAsia="Arial" w:hAnsi="Arial" w:cs="Arial"/>
          <w:color w:val="002060"/>
          <w:sz w:val="20"/>
          <w:szCs w:val="20"/>
        </w:rPr>
      </w:pPr>
      <w:r>
        <w:rPr>
          <w:rFonts w:ascii="Arial" w:eastAsia="Arial" w:hAnsi="Arial" w:cs="Arial"/>
          <w:color w:val="002060"/>
          <w:sz w:val="20"/>
          <w:szCs w:val="20"/>
        </w:rPr>
        <w:t xml:space="preserve">Cabe resaltar a </w:t>
      </w:r>
      <w:r>
        <w:rPr>
          <w:rFonts w:ascii="Arial" w:eastAsia="Arial" w:hAnsi="Arial" w:cs="Arial"/>
          <w:b/>
          <w:color w:val="002060"/>
          <w:sz w:val="20"/>
          <w:szCs w:val="20"/>
        </w:rPr>
        <w:t>programa de inversión pública</w:t>
      </w:r>
      <w:r>
        <w:rPr>
          <w:rFonts w:ascii="Arial" w:eastAsia="Arial" w:hAnsi="Arial" w:cs="Arial"/>
          <w:color w:val="002060"/>
          <w:sz w:val="20"/>
          <w:szCs w:val="20"/>
        </w:rPr>
        <w:t>, se encuentra en el inferior derecho del cuadrante, pero en el diagrama de redes podemos observar que tiene la mayor conectividad de redes, esto nos indica que es una causa conectora.</w:t>
      </w:r>
    </w:p>
    <w:p w14:paraId="68862305" w14:textId="77777777" w:rsidR="00B50826" w:rsidRDefault="00006AE2">
      <w:pPr>
        <w:numPr>
          <w:ilvl w:val="0"/>
          <w:numId w:val="4"/>
        </w:numPr>
        <w:pBdr>
          <w:top w:val="nil"/>
          <w:left w:val="nil"/>
          <w:bottom w:val="nil"/>
          <w:right w:val="nil"/>
          <w:between w:val="nil"/>
        </w:pBdr>
        <w:spacing w:line="259" w:lineRule="auto"/>
        <w:ind w:left="360"/>
        <w:jc w:val="both"/>
        <w:rPr>
          <w:rFonts w:ascii="Arial" w:eastAsia="Arial" w:hAnsi="Arial" w:cs="Arial"/>
          <w:b/>
          <w:color w:val="002060"/>
          <w:sz w:val="20"/>
          <w:szCs w:val="20"/>
        </w:rPr>
      </w:pPr>
      <w:r>
        <w:rPr>
          <w:rFonts w:ascii="Arial" w:eastAsia="Arial" w:hAnsi="Arial" w:cs="Arial"/>
          <w:b/>
          <w:color w:val="002060"/>
          <w:sz w:val="20"/>
          <w:szCs w:val="20"/>
        </w:rPr>
        <w:t xml:space="preserve">Puntos de apalancamiento. </w:t>
      </w:r>
    </w:p>
    <w:p w14:paraId="7CFA542D" w14:textId="77777777" w:rsidR="00B50826" w:rsidRDefault="00006AE2">
      <w:pPr>
        <w:pBdr>
          <w:top w:val="nil"/>
          <w:left w:val="nil"/>
          <w:bottom w:val="nil"/>
          <w:right w:val="nil"/>
          <w:between w:val="nil"/>
        </w:pBdr>
        <w:ind w:left="360"/>
        <w:jc w:val="both"/>
        <w:rPr>
          <w:rFonts w:ascii="Arial" w:eastAsia="Arial" w:hAnsi="Arial" w:cs="Arial"/>
          <w:color w:val="002060"/>
          <w:sz w:val="20"/>
          <w:szCs w:val="20"/>
        </w:rPr>
      </w:pPr>
      <w:r>
        <w:rPr>
          <w:rFonts w:ascii="Arial" w:eastAsia="Arial" w:hAnsi="Arial" w:cs="Arial"/>
          <w:color w:val="002060"/>
          <w:sz w:val="20"/>
          <w:szCs w:val="20"/>
        </w:rPr>
        <w:t xml:space="preserve">Según el diagrama de influencia de causas, en el cuadrante superior derecho muestra a las causas como: </w:t>
      </w:r>
      <w:r>
        <w:rPr>
          <w:rFonts w:ascii="Arial" w:eastAsia="Arial" w:hAnsi="Arial" w:cs="Arial"/>
          <w:b/>
          <w:color w:val="002060"/>
          <w:sz w:val="20"/>
          <w:szCs w:val="20"/>
        </w:rPr>
        <w:t>ingresos/ capital y control y vigilancia</w:t>
      </w:r>
      <w:r>
        <w:rPr>
          <w:rFonts w:ascii="Arial" w:eastAsia="Arial" w:hAnsi="Arial" w:cs="Arial"/>
          <w:color w:val="002060"/>
          <w:sz w:val="20"/>
          <w:szCs w:val="20"/>
        </w:rPr>
        <w:t xml:space="preserve"> más influyentes y dependientes del sistema de redes, </w:t>
      </w:r>
    </w:p>
    <w:p w14:paraId="2A7C3FA1" w14:textId="77777777" w:rsidR="00B50826" w:rsidRDefault="00B50826">
      <w:pPr>
        <w:pBdr>
          <w:top w:val="nil"/>
          <w:left w:val="nil"/>
          <w:bottom w:val="nil"/>
          <w:right w:val="nil"/>
          <w:between w:val="nil"/>
        </w:pBdr>
        <w:ind w:left="360"/>
        <w:jc w:val="both"/>
        <w:rPr>
          <w:rFonts w:ascii="Arial" w:eastAsia="Arial" w:hAnsi="Arial" w:cs="Arial"/>
          <w:color w:val="002060"/>
        </w:rPr>
      </w:pPr>
    </w:p>
    <w:p w14:paraId="7BA1D1EF" w14:textId="77777777" w:rsidR="00B50826" w:rsidRDefault="00006AE2">
      <w:pPr>
        <w:numPr>
          <w:ilvl w:val="1"/>
          <w:numId w:val="1"/>
        </w:numPr>
        <w:pBdr>
          <w:top w:val="nil"/>
          <w:left w:val="nil"/>
          <w:bottom w:val="nil"/>
          <w:right w:val="nil"/>
          <w:between w:val="nil"/>
        </w:pBdr>
        <w:spacing w:line="259" w:lineRule="auto"/>
        <w:ind w:left="1080"/>
        <w:rPr>
          <w:rFonts w:ascii="Arial" w:eastAsia="Arial" w:hAnsi="Arial" w:cs="Arial"/>
          <w:color w:val="002060"/>
        </w:rPr>
      </w:pPr>
      <w:r>
        <w:rPr>
          <w:rFonts w:ascii="Arial" w:eastAsia="Arial" w:hAnsi="Arial" w:cs="Arial"/>
          <w:b/>
          <w:color w:val="002060"/>
        </w:rPr>
        <w:t xml:space="preserve">Ingreso/capital. </w:t>
      </w:r>
      <w:r>
        <w:rPr>
          <w:rFonts w:ascii="Arial" w:eastAsia="Arial" w:hAnsi="Arial" w:cs="Arial"/>
          <w:color w:val="002060"/>
        </w:rPr>
        <w:t xml:space="preserve">Es una causa que opera a una escala regional, influencia el sistema a través de su influencia directa sobre otras causas, apreciándose con altos valoras como filtro mediador de las demás causas, según la ponderación de </w:t>
      </w:r>
      <w:proofErr w:type="spellStart"/>
      <w:r>
        <w:rPr>
          <w:rFonts w:ascii="Arial" w:eastAsia="Arial" w:hAnsi="Arial" w:cs="Arial"/>
          <w:color w:val="002060"/>
        </w:rPr>
        <w:t>betweeness</w:t>
      </w:r>
      <w:proofErr w:type="spellEnd"/>
      <w:r>
        <w:rPr>
          <w:rFonts w:ascii="Arial" w:eastAsia="Arial" w:hAnsi="Arial" w:cs="Arial"/>
          <w:color w:val="002060"/>
        </w:rPr>
        <w:t xml:space="preserve"> (puente) es la de tercer valor a nivel del sistema. </w:t>
      </w:r>
    </w:p>
    <w:p w14:paraId="09FFC4D9" w14:textId="77777777" w:rsidR="00B50826" w:rsidRDefault="00B50826">
      <w:pPr>
        <w:pBdr>
          <w:top w:val="nil"/>
          <w:left w:val="nil"/>
          <w:bottom w:val="nil"/>
          <w:right w:val="nil"/>
          <w:between w:val="nil"/>
        </w:pBdr>
        <w:ind w:left="1080" w:hanging="720"/>
        <w:rPr>
          <w:rFonts w:ascii="Arial" w:eastAsia="Arial" w:hAnsi="Arial" w:cs="Arial"/>
          <w:color w:val="002060"/>
        </w:rPr>
      </w:pPr>
    </w:p>
    <w:p w14:paraId="342F7899" w14:textId="77777777" w:rsidR="00B50826" w:rsidRDefault="00006AE2">
      <w:pPr>
        <w:numPr>
          <w:ilvl w:val="1"/>
          <w:numId w:val="1"/>
        </w:numPr>
        <w:pBdr>
          <w:top w:val="nil"/>
          <w:left w:val="nil"/>
          <w:bottom w:val="nil"/>
          <w:right w:val="nil"/>
          <w:between w:val="nil"/>
        </w:pBdr>
        <w:spacing w:line="259" w:lineRule="auto"/>
        <w:ind w:left="1080"/>
        <w:rPr>
          <w:rFonts w:ascii="Arial" w:eastAsia="Arial" w:hAnsi="Arial" w:cs="Arial"/>
          <w:color w:val="002060"/>
          <w:sz w:val="20"/>
          <w:szCs w:val="20"/>
        </w:rPr>
      </w:pPr>
      <w:r>
        <w:rPr>
          <w:rFonts w:ascii="Arial" w:eastAsia="Arial" w:hAnsi="Arial" w:cs="Arial"/>
          <w:b/>
          <w:color w:val="002060"/>
          <w:sz w:val="20"/>
          <w:szCs w:val="20"/>
        </w:rPr>
        <w:t xml:space="preserve">Control y vigilancia. </w:t>
      </w:r>
      <w:r>
        <w:rPr>
          <w:rFonts w:ascii="Arial" w:eastAsia="Arial" w:hAnsi="Arial" w:cs="Arial"/>
          <w:color w:val="002060"/>
          <w:sz w:val="20"/>
          <w:szCs w:val="20"/>
        </w:rPr>
        <w:t xml:space="preserve">Es una causa que opera a una escala regional, es la más influyente del sistema de manera directa e indirecta siendo también una de las causas más importantes, actúa también como filtro mediador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de mayor valor.</w:t>
      </w:r>
    </w:p>
    <w:p w14:paraId="1C324F2A" w14:textId="77777777" w:rsidR="00B50826" w:rsidRDefault="00B50826">
      <w:pPr>
        <w:pBdr>
          <w:top w:val="nil"/>
          <w:left w:val="nil"/>
          <w:bottom w:val="nil"/>
          <w:right w:val="nil"/>
          <w:between w:val="nil"/>
        </w:pBdr>
        <w:ind w:left="360"/>
        <w:rPr>
          <w:rFonts w:ascii="Arial" w:eastAsia="Arial" w:hAnsi="Arial" w:cs="Arial"/>
          <w:b/>
          <w:color w:val="002060"/>
          <w:sz w:val="20"/>
          <w:szCs w:val="20"/>
        </w:rPr>
      </w:pPr>
    </w:p>
    <w:p w14:paraId="5113BFF8" w14:textId="77777777" w:rsidR="00B50826" w:rsidRDefault="00006AE2">
      <w:pPr>
        <w:numPr>
          <w:ilvl w:val="1"/>
          <w:numId w:val="1"/>
        </w:numPr>
        <w:pBdr>
          <w:top w:val="nil"/>
          <w:left w:val="nil"/>
          <w:bottom w:val="nil"/>
          <w:right w:val="nil"/>
          <w:between w:val="nil"/>
        </w:pBdr>
        <w:spacing w:after="160" w:line="259" w:lineRule="auto"/>
        <w:ind w:left="1080"/>
        <w:rPr>
          <w:rFonts w:ascii="Arial" w:eastAsia="Arial" w:hAnsi="Arial" w:cs="Arial"/>
          <w:color w:val="002060"/>
          <w:sz w:val="20"/>
          <w:szCs w:val="20"/>
        </w:rPr>
      </w:pPr>
      <w:r>
        <w:rPr>
          <w:rFonts w:ascii="Arial" w:eastAsia="Arial" w:hAnsi="Arial" w:cs="Arial"/>
          <w:b/>
          <w:color w:val="002060"/>
          <w:sz w:val="20"/>
          <w:szCs w:val="20"/>
        </w:rPr>
        <w:t>programa de inversión pública</w:t>
      </w:r>
      <w:r>
        <w:rPr>
          <w:rFonts w:ascii="Arial" w:eastAsia="Arial" w:hAnsi="Arial" w:cs="Arial"/>
          <w:color w:val="002060"/>
          <w:sz w:val="20"/>
          <w:szCs w:val="20"/>
        </w:rPr>
        <w:t xml:space="preserve">. Es una causa que opera a escala local, influencia el sistema a través de su influencia directa sobre otras causas, teniendo así el grado de centralidad, apreciándose con altos valoras como conectora de las demás causas, según la ponderación de </w:t>
      </w:r>
      <w:proofErr w:type="spellStart"/>
      <w:r>
        <w:rPr>
          <w:rFonts w:ascii="Arial" w:eastAsia="Arial" w:hAnsi="Arial" w:cs="Arial"/>
          <w:color w:val="002060"/>
          <w:sz w:val="20"/>
          <w:szCs w:val="20"/>
        </w:rPr>
        <w:t>betweeness</w:t>
      </w:r>
      <w:proofErr w:type="spellEnd"/>
      <w:r>
        <w:rPr>
          <w:rFonts w:ascii="Arial" w:eastAsia="Arial" w:hAnsi="Arial" w:cs="Arial"/>
          <w:color w:val="002060"/>
          <w:sz w:val="20"/>
          <w:szCs w:val="20"/>
        </w:rPr>
        <w:t xml:space="preserve"> (puente) es la segunda de mayor valor.</w:t>
      </w:r>
    </w:p>
    <w:p w14:paraId="7DB87265" w14:textId="77777777" w:rsidR="00B50826" w:rsidRDefault="00006AE2">
      <w:pPr>
        <w:jc w:val="both"/>
        <w:rPr>
          <w:rFonts w:ascii="Arial" w:eastAsia="Arial" w:hAnsi="Arial" w:cs="Arial"/>
          <w:b/>
          <w:color w:val="002060"/>
          <w:sz w:val="20"/>
          <w:szCs w:val="20"/>
        </w:rPr>
      </w:pPr>
      <w:r>
        <w:rPr>
          <w:rFonts w:ascii="Arial" w:eastAsia="Arial" w:hAnsi="Arial" w:cs="Arial"/>
          <w:color w:val="002060"/>
          <w:sz w:val="20"/>
          <w:szCs w:val="20"/>
        </w:rPr>
        <w:t xml:space="preserve">Finalmente se deduce de este análisis que los puntos apalancamiento inicialmente son: ingreso/capital y control y vigilancia, </w:t>
      </w:r>
      <w:proofErr w:type="gramStart"/>
      <w:r>
        <w:rPr>
          <w:rFonts w:ascii="Arial" w:eastAsia="Arial" w:hAnsi="Arial" w:cs="Arial"/>
          <w:color w:val="002060"/>
          <w:sz w:val="20"/>
          <w:szCs w:val="20"/>
        </w:rPr>
        <w:t>que  después</w:t>
      </w:r>
      <w:proofErr w:type="gramEnd"/>
      <w:r>
        <w:rPr>
          <w:rFonts w:ascii="Arial" w:eastAsia="Arial" w:hAnsi="Arial" w:cs="Arial"/>
          <w:color w:val="002060"/>
          <w:sz w:val="20"/>
          <w:szCs w:val="20"/>
        </w:rPr>
        <w:t xml:space="preserve"> del análisis se pudo incorporar a programas de inversión pública.</w:t>
      </w:r>
    </w:p>
    <w:p w14:paraId="28097CB6" w14:textId="77777777" w:rsidR="00B50826" w:rsidRDefault="00B50826">
      <w:pPr>
        <w:jc w:val="both"/>
        <w:rPr>
          <w:rFonts w:ascii="Arial" w:eastAsia="Arial" w:hAnsi="Arial" w:cs="Arial"/>
          <w:b/>
          <w:color w:val="002060"/>
          <w:sz w:val="20"/>
          <w:szCs w:val="20"/>
        </w:rPr>
      </w:pPr>
    </w:p>
    <w:p w14:paraId="0F021AE0" w14:textId="77777777" w:rsidR="00B50826" w:rsidRDefault="00006AE2">
      <w:pPr>
        <w:numPr>
          <w:ilvl w:val="0"/>
          <w:numId w:val="5"/>
        </w:numPr>
        <w:pBdr>
          <w:top w:val="nil"/>
          <w:left w:val="nil"/>
          <w:bottom w:val="nil"/>
          <w:right w:val="nil"/>
          <w:between w:val="nil"/>
        </w:pBdr>
        <w:spacing w:line="259" w:lineRule="auto"/>
        <w:jc w:val="both"/>
        <w:rPr>
          <w:rFonts w:ascii="Arial" w:eastAsia="Arial" w:hAnsi="Arial" w:cs="Arial"/>
          <w:b/>
          <w:color w:val="002060"/>
          <w:sz w:val="20"/>
          <w:szCs w:val="20"/>
        </w:rPr>
      </w:pPr>
      <w:r>
        <w:rPr>
          <w:rFonts w:ascii="Arial" w:eastAsia="Arial" w:hAnsi="Arial" w:cs="Arial"/>
          <w:b/>
          <w:color w:val="002060"/>
          <w:sz w:val="20"/>
          <w:szCs w:val="20"/>
        </w:rPr>
        <w:t>Valores relevantes de las causas en su importancia de la medición de nodos.</w:t>
      </w:r>
    </w:p>
    <w:p w14:paraId="5ECDC529" w14:textId="77777777" w:rsidR="00B50826" w:rsidRDefault="00B50826">
      <w:pPr>
        <w:pBdr>
          <w:top w:val="nil"/>
          <w:left w:val="nil"/>
          <w:bottom w:val="nil"/>
          <w:right w:val="nil"/>
          <w:between w:val="nil"/>
        </w:pBdr>
        <w:ind w:left="720"/>
        <w:jc w:val="center"/>
        <w:rPr>
          <w:rFonts w:ascii="Arial" w:eastAsia="Arial" w:hAnsi="Arial" w:cs="Arial"/>
          <w:b/>
          <w:color w:val="002060"/>
          <w:sz w:val="20"/>
          <w:szCs w:val="20"/>
        </w:rPr>
      </w:pPr>
    </w:p>
    <w:tbl>
      <w:tblPr>
        <w:tblStyle w:val="aff7"/>
        <w:tblW w:w="0" w:type="auto"/>
        <w:tblInd w:w="0" w:type="dxa"/>
        <w:tblLook w:val="0400" w:firstRow="0" w:lastRow="0" w:firstColumn="0" w:lastColumn="0" w:noHBand="0" w:noVBand="1"/>
      </w:tblPr>
      <w:tblGrid>
        <w:gridCol w:w="1219"/>
        <w:gridCol w:w="3932"/>
        <w:gridCol w:w="664"/>
      </w:tblGrid>
      <w:tr w:rsidR="00B50826" w14:paraId="7518FC26" w14:textId="77777777">
        <w:tc>
          <w:tcPr>
            <w:tcW w:w="0" w:type="auto"/>
          </w:tcPr>
          <w:p w14:paraId="1711A22B" w14:textId="77777777" w:rsidR="00B50826" w:rsidRDefault="00B50826">
            <w:pPr>
              <w:pBdr>
                <w:top w:val="nil"/>
                <w:left w:val="nil"/>
                <w:bottom w:val="nil"/>
                <w:right w:val="nil"/>
                <w:between w:val="nil"/>
              </w:pBdr>
              <w:ind w:hanging="720"/>
              <w:jc w:val="center"/>
              <w:rPr>
                <w:rFonts w:ascii="Arial" w:eastAsia="Arial" w:hAnsi="Arial" w:cs="Arial"/>
                <w:b/>
                <w:color w:val="002060"/>
                <w:sz w:val="20"/>
                <w:szCs w:val="20"/>
              </w:rPr>
            </w:pPr>
          </w:p>
        </w:tc>
        <w:tc>
          <w:tcPr>
            <w:tcW w:w="0" w:type="auto"/>
          </w:tcPr>
          <w:p w14:paraId="1A871128"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CAUSAS</w:t>
            </w:r>
          </w:p>
        </w:tc>
        <w:tc>
          <w:tcPr>
            <w:tcW w:w="0" w:type="auto"/>
          </w:tcPr>
          <w:p w14:paraId="4AA9F496" w14:textId="77777777" w:rsidR="00B50826" w:rsidRDefault="00006AE2">
            <w:pPr>
              <w:pBdr>
                <w:top w:val="nil"/>
                <w:left w:val="nil"/>
                <w:bottom w:val="nil"/>
                <w:right w:val="nil"/>
                <w:between w:val="nil"/>
              </w:pBdr>
              <w:ind w:hanging="720"/>
              <w:jc w:val="right"/>
              <w:rPr>
                <w:rFonts w:ascii="Arial" w:eastAsia="Arial" w:hAnsi="Arial" w:cs="Arial"/>
                <w:b/>
                <w:color w:val="002060"/>
                <w:sz w:val="20"/>
                <w:szCs w:val="20"/>
              </w:rPr>
            </w:pPr>
            <w:r>
              <w:rPr>
                <w:rFonts w:ascii="Arial" w:eastAsia="Arial" w:hAnsi="Arial" w:cs="Arial"/>
                <w:b/>
                <w:color w:val="002060"/>
                <w:sz w:val="20"/>
                <w:szCs w:val="20"/>
              </w:rPr>
              <w:t>VALORES</w:t>
            </w:r>
          </w:p>
        </w:tc>
      </w:tr>
      <w:tr w:rsidR="00B50826" w14:paraId="331290CE" w14:textId="77777777">
        <w:tc>
          <w:tcPr>
            <w:tcW w:w="0" w:type="auto"/>
          </w:tcPr>
          <w:p w14:paraId="5A8E3FF4"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activa</w:t>
            </w:r>
          </w:p>
        </w:tc>
        <w:tc>
          <w:tcPr>
            <w:tcW w:w="0" w:type="auto"/>
            <w:vAlign w:val="center"/>
          </w:tcPr>
          <w:p w14:paraId="1E38611D"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vAlign w:val="center"/>
          </w:tcPr>
          <w:p w14:paraId="73F25778"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12</w:t>
            </w:r>
          </w:p>
        </w:tc>
      </w:tr>
      <w:tr w:rsidR="00B50826" w14:paraId="1DB681EE" w14:textId="77777777">
        <w:tc>
          <w:tcPr>
            <w:tcW w:w="0" w:type="auto"/>
          </w:tcPr>
          <w:p w14:paraId="6A49EC3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pasiva</w:t>
            </w:r>
          </w:p>
        </w:tc>
        <w:tc>
          <w:tcPr>
            <w:tcW w:w="0" w:type="auto"/>
            <w:vAlign w:val="center"/>
          </w:tcPr>
          <w:p w14:paraId="30F757AA"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vAlign w:val="center"/>
          </w:tcPr>
          <w:p w14:paraId="1BEAE742"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15</w:t>
            </w:r>
          </w:p>
        </w:tc>
      </w:tr>
      <w:tr w:rsidR="00B50826" w14:paraId="0AF157A3" w14:textId="77777777">
        <w:tc>
          <w:tcPr>
            <w:tcW w:w="0" w:type="auto"/>
          </w:tcPr>
          <w:p w14:paraId="7DA34EB7"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Influencia total</w:t>
            </w:r>
          </w:p>
        </w:tc>
        <w:tc>
          <w:tcPr>
            <w:tcW w:w="0" w:type="auto"/>
            <w:vAlign w:val="center"/>
          </w:tcPr>
          <w:p w14:paraId="7D0FB8B7"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vAlign w:val="center"/>
          </w:tcPr>
          <w:p w14:paraId="5F2E3698"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27</w:t>
            </w:r>
          </w:p>
        </w:tc>
      </w:tr>
      <w:tr w:rsidR="00B50826" w14:paraId="173A1348" w14:textId="77777777">
        <w:tc>
          <w:tcPr>
            <w:tcW w:w="0" w:type="auto"/>
          </w:tcPr>
          <w:p w14:paraId="67BBC9B3"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r>
              <w:rPr>
                <w:rFonts w:ascii="Arial" w:eastAsia="Arial" w:hAnsi="Arial" w:cs="Arial"/>
                <w:b/>
                <w:color w:val="002060"/>
                <w:sz w:val="20"/>
                <w:szCs w:val="20"/>
              </w:rPr>
              <w:t>Intensidad</w:t>
            </w:r>
          </w:p>
        </w:tc>
        <w:tc>
          <w:tcPr>
            <w:tcW w:w="0" w:type="auto"/>
            <w:vAlign w:val="center"/>
          </w:tcPr>
          <w:p w14:paraId="2A35CECA"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p w14:paraId="6D4AF166"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programas de inversión publica</w:t>
            </w:r>
          </w:p>
        </w:tc>
        <w:tc>
          <w:tcPr>
            <w:tcW w:w="0" w:type="auto"/>
            <w:vAlign w:val="center"/>
          </w:tcPr>
          <w:p w14:paraId="6F1BC3F9"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2.000000</w:t>
            </w:r>
          </w:p>
        </w:tc>
      </w:tr>
      <w:tr w:rsidR="00B50826" w14:paraId="16CB2A82" w14:textId="77777777">
        <w:tc>
          <w:tcPr>
            <w:tcW w:w="0" w:type="auto"/>
          </w:tcPr>
          <w:p w14:paraId="2A027352"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Betweenss</w:t>
            </w:r>
            <w:proofErr w:type="spellEnd"/>
          </w:p>
        </w:tc>
        <w:tc>
          <w:tcPr>
            <w:tcW w:w="0" w:type="auto"/>
            <w:vAlign w:val="center"/>
          </w:tcPr>
          <w:p w14:paraId="3B0ED32D"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vAlign w:val="center"/>
          </w:tcPr>
          <w:p w14:paraId="42C83CA4"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242.903283</w:t>
            </w:r>
          </w:p>
        </w:tc>
      </w:tr>
      <w:tr w:rsidR="00B50826" w14:paraId="4430D1B3" w14:textId="77777777">
        <w:tc>
          <w:tcPr>
            <w:tcW w:w="0" w:type="auto"/>
          </w:tcPr>
          <w:p w14:paraId="0B2A8948"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Closeness</w:t>
            </w:r>
            <w:proofErr w:type="spellEnd"/>
          </w:p>
        </w:tc>
        <w:tc>
          <w:tcPr>
            <w:tcW w:w="0" w:type="auto"/>
            <w:vAlign w:val="center"/>
          </w:tcPr>
          <w:p w14:paraId="79E150A4"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 xml:space="preserve">          Mercado Internacional y mercado nacional</w:t>
            </w:r>
          </w:p>
        </w:tc>
        <w:tc>
          <w:tcPr>
            <w:tcW w:w="0" w:type="auto"/>
            <w:vAlign w:val="center"/>
          </w:tcPr>
          <w:p w14:paraId="53DF9A57"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0.0090090</w:t>
            </w:r>
          </w:p>
        </w:tc>
      </w:tr>
      <w:tr w:rsidR="00B50826" w14:paraId="3DE95E52" w14:textId="77777777">
        <w:tc>
          <w:tcPr>
            <w:tcW w:w="0" w:type="auto"/>
          </w:tcPr>
          <w:p w14:paraId="1FE98E8E" w14:textId="77777777" w:rsidR="00B50826" w:rsidRDefault="00006AE2">
            <w:pPr>
              <w:pBdr>
                <w:top w:val="nil"/>
                <w:left w:val="nil"/>
                <w:bottom w:val="nil"/>
                <w:right w:val="nil"/>
                <w:between w:val="nil"/>
              </w:pBdr>
              <w:ind w:hanging="720"/>
              <w:jc w:val="center"/>
              <w:rPr>
                <w:rFonts w:ascii="Arial" w:eastAsia="Arial" w:hAnsi="Arial" w:cs="Arial"/>
                <w:b/>
                <w:color w:val="002060"/>
                <w:sz w:val="20"/>
                <w:szCs w:val="20"/>
              </w:rPr>
            </w:pPr>
            <w:proofErr w:type="spellStart"/>
            <w:r>
              <w:rPr>
                <w:rFonts w:ascii="Arial" w:eastAsia="Arial" w:hAnsi="Arial" w:cs="Arial"/>
                <w:b/>
                <w:color w:val="002060"/>
                <w:sz w:val="20"/>
                <w:szCs w:val="20"/>
              </w:rPr>
              <w:t>Eignvector</w:t>
            </w:r>
            <w:proofErr w:type="spellEnd"/>
          </w:p>
        </w:tc>
        <w:tc>
          <w:tcPr>
            <w:tcW w:w="0" w:type="auto"/>
            <w:vAlign w:val="center"/>
          </w:tcPr>
          <w:p w14:paraId="5E0E9ED9" w14:textId="77777777" w:rsidR="00B50826" w:rsidRDefault="00006AE2">
            <w:pPr>
              <w:pBdr>
                <w:top w:val="nil"/>
                <w:left w:val="nil"/>
                <w:bottom w:val="nil"/>
                <w:right w:val="nil"/>
                <w:between w:val="nil"/>
              </w:pBdr>
              <w:ind w:hanging="720"/>
              <w:jc w:val="center"/>
              <w:rPr>
                <w:rFonts w:ascii="Arial" w:eastAsia="Arial" w:hAnsi="Arial" w:cs="Arial"/>
                <w:color w:val="002060"/>
                <w:sz w:val="20"/>
                <w:szCs w:val="20"/>
              </w:rPr>
            </w:pPr>
            <w:r>
              <w:rPr>
                <w:rFonts w:ascii="Arial" w:eastAsia="Arial" w:hAnsi="Arial" w:cs="Arial"/>
                <w:color w:val="002060"/>
                <w:sz w:val="20"/>
                <w:szCs w:val="20"/>
              </w:rPr>
              <w:t>Control y Vigilancia</w:t>
            </w:r>
          </w:p>
        </w:tc>
        <w:tc>
          <w:tcPr>
            <w:tcW w:w="0" w:type="auto"/>
            <w:vAlign w:val="center"/>
          </w:tcPr>
          <w:p w14:paraId="71F0CCB0" w14:textId="77777777" w:rsidR="00B50826" w:rsidRDefault="00006AE2">
            <w:pPr>
              <w:pBdr>
                <w:top w:val="nil"/>
                <w:left w:val="nil"/>
                <w:bottom w:val="nil"/>
                <w:right w:val="nil"/>
                <w:between w:val="nil"/>
              </w:pBdr>
              <w:ind w:hanging="720"/>
              <w:jc w:val="right"/>
              <w:rPr>
                <w:rFonts w:ascii="Arial" w:eastAsia="Arial" w:hAnsi="Arial" w:cs="Arial"/>
                <w:color w:val="002060"/>
                <w:sz w:val="20"/>
                <w:szCs w:val="20"/>
              </w:rPr>
            </w:pPr>
            <w:r>
              <w:rPr>
                <w:rFonts w:ascii="Arial" w:eastAsia="Arial" w:hAnsi="Arial" w:cs="Arial"/>
                <w:color w:val="002060"/>
                <w:sz w:val="20"/>
                <w:szCs w:val="20"/>
              </w:rPr>
              <w:t>1..0000000</w:t>
            </w:r>
          </w:p>
        </w:tc>
      </w:tr>
    </w:tbl>
    <w:p w14:paraId="3CD4364C" w14:textId="77777777" w:rsidR="00B50826" w:rsidRDefault="00B50826">
      <w:pPr>
        <w:jc w:val="both"/>
        <w:rPr>
          <w:rFonts w:ascii="Arial" w:eastAsia="Arial" w:hAnsi="Arial" w:cs="Arial"/>
          <w:b/>
          <w:color w:val="002060"/>
          <w:sz w:val="20"/>
          <w:szCs w:val="20"/>
        </w:rPr>
      </w:pPr>
    </w:p>
    <w:sectPr w:rsidR="00B50826">
      <w:pgSz w:w="11906" w:h="16838"/>
      <w:pgMar w:top="993" w:right="2125" w:bottom="1843" w:left="1418"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D51D2" w14:textId="77777777" w:rsidR="00F62D58" w:rsidRDefault="00F62D58">
      <w:r>
        <w:separator/>
      </w:r>
    </w:p>
  </w:endnote>
  <w:endnote w:type="continuationSeparator" w:id="0">
    <w:p w14:paraId="78A221B1" w14:textId="77777777" w:rsidR="00F62D58" w:rsidRDefault="00F6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vea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27D8B" w14:textId="77777777" w:rsidR="00842BE6" w:rsidRDefault="00842BE6">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00323">
      <w:rPr>
        <w:noProof/>
        <w:color w:val="000000"/>
      </w:rPr>
      <w:t>1</w:t>
    </w:r>
    <w:r>
      <w:rPr>
        <w:color w:val="000000"/>
      </w:rPr>
      <w:fldChar w:fldCharType="end"/>
    </w:r>
  </w:p>
  <w:p w14:paraId="19870B0D" w14:textId="77777777" w:rsidR="00842BE6" w:rsidRDefault="00842BE6">
    <w:pPr>
      <w:pBdr>
        <w:top w:val="nil"/>
        <w:left w:val="nil"/>
        <w:bottom w:val="nil"/>
        <w:right w:val="nil"/>
        <w:between w:val="nil"/>
      </w:pBdr>
      <w:tabs>
        <w:tab w:val="center" w:pos="4252"/>
        <w:tab w:val="right" w:pos="8504"/>
      </w:tabs>
      <w:rPr>
        <w:rFonts w:ascii="Arial" w:eastAsia="Arial" w:hAnsi="Arial" w:cs="Arial"/>
        <w:color w:val="002060"/>
        <w:sz w:val="16"/>
        <w:szCs w:val="16"/>
      </w:rPr>
    </w:pPr>
    <w:r>
      <w:rPr>
        <w:rFonts w:ascii="Arial" w:eastAsia="Arial" w:hAnsi="Arial" w:cs="Arial"/>
        <w:color w:val="002060"/>
        <w:sz w:val="16"/>
        <w:szCs w:val="16"/>
      </w:rPr>
      <w:t xml:space="preserve">Estrategia Regional de Desarrollo Rural Bajo en Emisiones Huánuco – ERDRBE.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0C870" w14:textId="77777777" w:rsidR="00F62D58" w:rsidRDefault="00F62D58">
      <w:r>
        <w:separator/>
      </w:r>
    </w:p>
  </w:footnote>
  <w:footnote w:type="continuationSeparator" w:id="0">
    <w:p w14:paraId="71807B97" w14:textId="77777777" w:rsidR="00F62D58" w:rsidRDefault="00F62D58">
      <w:r>
        <w:continuationSeparator/>
      </w:r>
    </w:p>
  </w:footnote>
  <w:footnote w:id="1">
    <w:p w14:paraId="070A7F1B" w14:textId="77777777" w:rsidR="00842BE6" w:rsidRPr="00247E4D" w:rsidRDefault="00842BE6" w:rsidP="00CE6120">
      <w:pPr>
        <w:pBdr>
          <w:top w:val="nil"/>
          <w:left w:val="nil"/>
          <w:bottom w:val="nil"/>
          <w:right w:val="nil"/>
          <w:between w:val="nil"/>
        </w:pBdr>
        <w:contextualSpacing/>
        <w:rPr>
          <w:rFonts w:ascii="Arial" w:eastAsia="Arial" w:hAnsi="Arial" w:cs="Arial"/>
          <w:color w:val="002060"/>
          <w:sz w:val="16"/>
          <w:szCs w:val="16"/>
        </w:rPr>
      </w:pPr>
      <w:r w:rsidRPr="00247E4D">
        <w:rPr>
          <w:rFonts w:ascii="Arial" w:hAnsi="Arial" w:cs="Arial"/>
          <w:color w:val="002060"/>
          <w:sz w:val="16"/>
          <w:szCs w:val="16"/>
          <w:vertAlign w:val="superscript"/>
        </w:rPr>
        <w:footnoteRef/>
      </w:r>
      <w:r w:rsidRPr="00247E4D">
        <w:rPr>
          <w:rFonts w:ascii="Arial" w:eastAsia="Arial" w:hAnsi="Arial" w:cs="Arial"/>
          <w:color w:val="002060"/>
          <w:sz w:val="16"/>
          <w:szCs w:val="16"/>
        </w:rPr>
        <w:t xml:space="preserve"> Biodiversifica, 2017</w:t>
      </w:r>
    </w:p>
  </w:footnote>
  <w:footnote w:id="2">
    <w:p w14:paraId="38BADD44" w14:textId="77777777" w:rsidR="00842BE6" w:rsidRPr="00247E4D" w:rsidRDefault="00842BE6" w:rsidP="00CE6120">
      <w:pPr>
        <w:contextualSpacing/>
        <w:jc w:val="both"/>
        <w:rPr>
          <w:rFonts w:ascii="Arial" w:hAnsi="Arial" w:cs="Arial"/>
          <w:color w:val="002060"/>
          <w:sz w:val="16"/>
          <w:szCs w:val="16"/>
        </w:rPr>
      </w:pPr>
      <w:r w:rsidRPr="00247E4D">
        <w:rPr>
          <w:rStyle w:val="Refdenotaalpie"/>
          <w:rFonts w:ascii="Arial" w:eastAsiaTheme="minorEastAsia" w:hAnsi="Arial" w:cs="Arial"/>
          <w:color w:val="002060"/>
          <w:sz w:val="16"/>
          <w:szCs w:val="16"/>
        </w:rPr>
        <w:footnoteRef/>
      </w:r>
      <w:r w:rsidRPr="00247E4D">
        <w:rPr>
          <w:rFonts w:ascii="Arial" w:hAnsi="Arial" w:cs="Arial"/>
          <w:color w:val="002060"/>
          <w:sz w:val="16"/>
          <w:szCs w:val="16"/>
        </w:rPr>
        <w:t xml:space="preserve"> FAO y PNUMA 2020. El estado de los bosques del mundo 2020. Los bosques, la biodiversidad y las personas. Roma.    </w:t>
      </w:r>
      <w:hyperlink r:id="rId1" w:history="1">
        <w:r w:rsidRPr="00247E4D">
          <w:rPr>
            <w:rStyle w:val="Hipervnculo"/>
            <w:rFonts w:ascii="Arial" w:hAnsi="Arial" w:cs="Arial"/>
            <w:color w:val="002060"/>
            <w:sz w:val="16"/>
            <w:szCs w:val="16"/>
          </w:rPr>
          <w:t>https://doi.org/10.4060/ca8642es</w:t>
        </w:r>
      </w:hyperlink>
      <w:r w:rsidRPr="00247E4D">
        <w:rPr>
          <w:rFonts w:ascii="Arial" w:hAnsi="Arial" w:cs="Arial"/>
          <w:color w:val="002060"/>
          <w:sz w:val="16"/>
          <w:szCs w:val="16"/>
        </w:rPr>
        <w:t>.)</w:t>
      </w:r>
    </w:p>
  </w:footnote>
  <w:footnote w:id="3">
    <w:p w14:paraId="73C744DA" w14:textId="77777777" w:rsidR="00842BE6" w:rsidRPr="00247E4D" w:rsidRDefault="00842BE6" w:rsidP="00CE6120">
      <w:pPr>
        <w:pBdr>
          <w:top w:val="nil"/>
          <w:left w:val="nil"/>
          <w:bottom w:val="nil"/>
          <w:right w:val="nil"/>
          <w:between w:val="nil"/>
        </w:pBdr>
        <w:contextualSpacing/>
        <w:rPr>
          <w:rFonts w:ascii="Arial" w:eastAsia="Arial" w:hAnsi="Arial" w:cs="Arial"/>
          <w:color w:val="002060"/>
          <w:sz w:val="16"/>
          <w:szCs w:val="16"/>
        </w:rPr>
      </w:pPr>
      <w:r w:rsidRPr="00247E4D">
        <w:rPr>
          <w:rFonts w:ascii="Arial" w:hAnsi="Arial" w:cs="Arial"/>
          <w:color w:val="002060"/>
          <w:sz w:val="16"/>
          <w:szCs w:val="16"/>
          <w:vertAlign w:val="superscript"/>
        </w:rPr>
        <w:footnoteRef/>
      </w:r>
      <w:r w:rsidRPr="00247E4D">
        <w:rPr>
          <w:rFonts w:ascii="Arial" w:eastAsia="Arial" w:hAnsi="Arial" w:cs="Arial"/>
          <w:color w:val="002060"/>
          <w:sz w:val="16"/>
          <w:szCs w:val="16"/>
        </w:rPr>
        <w:t xml:space="preserve"> Conservación de Bosque en el Perú – 2011 – 2016 MINAN.</w:t>
      </w:r>
    </w:p>
  </w:footnote>
  <w:footnote w:id="4">
    <w:p w14:paraId="3EA96684" w14:textId="77777777" w:rsidR="00842BE6" w:rsidRPr="00247E4D" w:rsidRDefault="00842BE6" w:rsidP="00CE6120">
      <w:pPr>
        <w:pBdr>
          <w:top w:val="nil"/>
          <w:left w:val="nil"/>
          <w:bottom w:val="nil"/>
          <w:right w:val="nil"/>
          <w:between w:val="nil"/>
        </w:pBdr>
        <w:contextualSpacing/>
        <w:rPr>
          <w:rFonts w:ascii="Calibri" w:eastAsia="Calibri" w:hAnsi="Calibri" w:cs="Calibri"/>
          <w:color w:val="002060"/>
          <w:sz w:val="18"/>
          <w:szCs w:val="18"/>
        </w:rPr>
      </w:pPr>
      <w:r w:rsidRPr="00247E4D">
        <w:rPr>
          <w:rFonts w:ascii="Arial" w:hAnsi="Arial" w:cs="Arial"/>
          <w:color w:val="002060"/>
          <w:sz w:val="16"/>
          <w:szCs w:val="16"/>
          <w:vertAlign w:val="superscript"/>
        </w:rPr>
        <w:footnoteRef/>
      </w:r>
      <w:r w:rsidRPr="00247E4D">
        <w:rPr>
          <w:rFonts w:ascii="Arial" w:eastAsia="Arial" w:hAnsi="Arial" w:cs="Arial"/>
          <w:color w:val="002060"/>
          <w:sz w:val="16"/>
          <w:szCs w:val="16"/>
        </w:rPr>
        <w:t xml:space="preserve"> Geobosque – 2019.</w:t>
      </w:r>
    </w:p>
  </w:footnote>
  <w:footnote w:id="5">
    <w:p w14:paraId="03CEB198" w14:textId="77777777" w:rsidR="00842BE6" w:rsidRPr="005525DE" w:rsidRDefault="00842BE6" w:rsidP="008D1A33">
      <w:pPr>
        <w:pStyle w:val="Ttulo1"/>
        <w:keepNext w:val="0"/>
        <w:keepLines w:val="0"/>
        <w:shd w:val="clear" w:color="auto" w:fill="FFFFFF"/>
        <w:spacing w:before="0"/>
        <w:contextualSpacing/>
        <w:rPr>
          <w:rFonts w:ascii="Arial" w:hAnsi="Arial" w:cs="Arial"/>
          <w:color w:val="002060"/>
          <w:sz w:val="16"/>
          <w:szCs w:val="16"/>
          <w:lang w:val="es-PE"/>
        </w:rPr>
      </w:pPr>
      <w:r w:rsidRPr="005525DE">
        <w:rPr>
          <w:rStyle w:val="Refdenotaalpie"/>
          <w:rFonts w:ascii="Arial" w:hAnsi="Arial" w:cs="Arial"/>
          <w:color w:val="002060"/>
          <w:sz w:val="16"/>
          <w:szCs w:val="16"/>
        </w:rPr>
        <w:footnoteRef/>
      </w:r>
      <w:hyperlink r:id="rId2" w:history="1">
        <w:r w:rsidRPr="005525DE">
          <w:rPr>
            <w:rFonts w:ascii="Arial" w:hAnsi="Arial" w:cs="Arial"/>
            <w:bCs/>
            <w:color w:val="002060"/>
            <w:sz w:val="16"/>
            <w:szCs w:val="16"/>
          </w:rPr>
          <w:t>Estrategia Nacional de Bosques y Cambio Climático</w:t>
        </w:r>
      </w:hyperlink>
    </w:p>
  </w:footnote>
  <w:footnote w:id="6">
    <w:p w14:paraId="2B7FCD51" w14:textId="77777777" w:rsidR="00842BE6" w:rsidRPr="005525DE" w:rsidRDefault="00842BE6" w:rsidP="008D1A33">
      <w:pPr>
        <w:pBdr>
          <w:top w:val="nil"/>
          <w:left w:val="nil"/>
          <w:bottom w:val="nil"/>
          <w:right w:val="nil"/>
          <w:between w:val="nil"/>
        </w:pBdr>
        <w:contextualSpacing/>
        <w:rPr>
          <w:rFonts w:ascii="Arial" w:eastAsia="Arial" w:hAnsi="Arial" w:cs="Arial"/>
          <w:color w:val="002060"/>
          <w:sz w:val="16"/>
          <w:szCs w:val="16"/>
        </w:rPr>
      </w:pPr>
      <w:r w:rsidRPr="005525DE">
        <w:rPr>
          <w:rFonts w:ascii="Arial" w:hAnsi="Arial" w:cs="Arial"/>
          <w:color w:val="002060"/>
          <w:sz w:val="16"/>
          <w:szCs w:val="16"/>
          <w:vertAlign w:val="superscript"/>
        </w:rPr>
        <w:footnoteRef/>
      </w:r>
      <w:r w:rsidRPr="005525DE">
        <w:rPr>
          <w:rFonts w:ascii="Arial" w:eastAsia="Arial" w:hAnsi="Arial" w:cs="Arial"/>
          <w:color w:val="002060"/>
          <w:sz w:val="16"/>
          <w:szCs w:val="16"/>
        </w:rPr>
        <w:t xml:space="preserve"> Informe “El Estado de los Bosques en el Mundo” – FAO, 2016.</w:t>
      </w:r>
    </w:p>
  </w:footnote>
  <w:footnote w:id="7">
    <w:p w14:paraId="60F45FA3" w14:textId="77777777" w:rsidR="00842BE6" w:rsidRPr="008D1A33" w:rsidRDefault="00842BE6">
      <w:pPr>
        <w:pBdr>
          <w:top w:val="nil"/>
          <w:left w:val="nil"/>
          <w:bottom w:val="nil"/>
          <w:right w:val="nil"/>
          <w:between w:val="nil"/>
        </w:pBdr>
        <w:rPr>
          <w:rFonts w:ascii="Arial" w:eastAsia="Calibri" w:hAnsi="Arial" w:cs="Arial"/>
          <w:color w:val="002060"/>
          <w:sz w:val="16"/>
          <w:szCs w:val="16"/>
        </w:rPr>
      </w:pPr>
      <w:r w:rsidRPr="008D1A33">
        <w:rPr>
          <w:rFonts w:ascii="Arial" w:hAnsi="Arial" w:cs="Arial"/>
          <w:color w:val="002060"/>
          <w:sz w:val="16"/>
          <w:szCs w:val="16"/>
          <w:vertAlign w:val="superscript"/>
        </w:rPr>
        <w:footnoteRef/>
      </w:r>
      <w:r w:rsidRPr="008D1A33">
        <w:rPr>
          <w:rFonts w:ascii="Arial" w:eastAsia="Calibri" w:hAnsi="Arial" w:cs="Arial"/>
          <w:color w:val="002060"/>
          <w:sz w:val="16"/>
          <w:szCs w:val="16"/>
        </w:rPr>
        <w:t xml:space="preserve"> GEOBOSQUE – MINAN, 2020.</w:t>
      </w:r>
    </w:p>
  </w:footnote>
  <w:footnote w:id="8">
    <w:p w14:paraId="1A05C76F" w14:textId="77777777" w:rsidR="00842BE6" w:rsidRPr="008D1A33" w:rsidRDefault="00842BE6" w:rsidP="008D1A33">
      <w:pPr>
        <w:pBdr>
          <w:top w:val="nil"/>
          <w:left w:val="nil"/>
          <w:bottom w:val="nil"/>
          <w:right w:val="nil"/>
          <w:between w:val="nil"/>
        </w:pBdr>
        <w:ind w:left="720" w:hanging="720"/>
        <w:contextualSpacing/>
        <w:jc w:val="both"/>
        <w:rPr>
          <w:rFonts w:ascii="Arial" w:eastAsia="Arial" w:hAnsi="Arial" w:cs="Arial"/>
          <w:color w:val="000000"/>
          <w:sz w:val="16"/>
          <w:szCs w:val="16"/>
        </w:rPr>
      </w:pPr>
      <w:r w:rsidRPr="008D1A33">
        <w:rPr>
          <w:rFonts w:ascii="Arial" w:hAnsi="Arial" w:cs="Arial"/>
          <w:sz w:val="16"/>
          <w:szCs w:val="16"/>
          <w:vertAlign w:val="superscript"/>
        </w:rPr>
        <w:footnoteRef/>
      </w:r>
      <w:r w:rsidRPr="008D1A33">
        <w:rPr>
          <w:rFonts w:ascii="Arial" w:eastAsia="Arial" w:hAnsi="Arial" w:cs="Arial"/>
          <w:color w:val="002060"/>
          <w:sz w:val="16"/>
          <w:szCs w:val="16"/>
        </w:rPr>
        <w:t xml:space="preserve"> Ordenanza Regional N° 080-2018-GRHCO, aprobada el 02/02/2018.</w:t>
      </w:r>
    </w:p>
  </w:footnote>
  <w:footnote w:id="9">
    <w:p w14:paraId="6AC0B148" w14:textId="77777777" w:rsidR="00842BE6" w:rsidRPr="008D1A33" w:rsidRDefault="00842BE6" w:rsidP="008D1A33">
      <w:pPr>
        <w:pBdr>
          <w:top w:val="nil"/>
          <w:left w:val="nil"/>
          <w:bottom w:val="nil"/>
          <w:right w:val="nil"/>
          <w:between w:val="nil"/>
        </w:pBdr>
        <w:contextualSpacing/>
        <w:rPr>
          <w:rFonts w:ascii="Arial" w:eastAsia="Arial" w:hAnsi="Arial" w:cs="Arial"/>
          <w:color w:val="002060"/>
          <w:sz w:val="16"/>
          <w:szCs w:val="16"/>
        </w:rPr>
      </w:pPr>
      <w:r w:rsidRPr="008D1A33">
        <w:rPr>
          <w:rFonts w:ascii="Arial" w:hAnsi="Arial" w:cs="Arial"/>
          <w:sz w:val="16"/>
          <w:szCs w:val="16"/>
          <w:vertAlign w:val="superscript"/>
        </w:rPr>
        <w:footnoteRef/>
      </w:r>
      <w:r w:rsidRPr="008D1A33">
        <w:rPr>
          <w:rFonts w:ascii="Arial" w:eastAsia="Arial" w:hAnsi="Arial" w:cs="Arial"/>
          <w:color w:val="002060"/>
          <w:sz w:val="16"/>
          <w:szCs w:val="16"/>
        </w:rPr>
        <w:t xml:space="preserve"> Sustentada en el Art. 15° de la Ley N° 27867</w:t>
      </w:r>
    </w:p>
  </w:footnote>
  <w:footnote w:id="10">
    <w:p w14:paraId="7D5E0DB0" w14:textId="77777777" w:rsidR="00842BE6" w:rsidRPr="006F0738" w:rsidRDefault="00842BE6" w:rsidP="006F0738">
      <w:pPr>
        <w:pBdr>
          <w:top w:val="nil"/>
          <w:left w:val="nil"/>
          <w:bottom w:val="nil"/>
          <w:right w:val="nil"/>
          <w:between w:val="nil"/>
        </w:pBdr>
        <w:contextualSpacing/>
        <w:rPr>
          <w:rFonts w:ascii="Arial" w:eastAsia="Arial" w:hAnsi="Arial" w:cs="Arial"/>
          <w:color w:val="000000"/>
          <w:sz w:val="16"/>
          <w:szCs w:val="16"/>
        </w:rPr>
      </w:pPr>
      <w:r w:rsidRPr="006F0738">
        <w:rPr>
          <w:rFonts w:ascii="Arial" w:hAnsi="Arial" w:cs="Arial"/>
          <w:sz w:val="16"/>
          <w:szCs w:val="16"/>
          <w:vertAlign w:val="superscript"/>
        </w:rPr>
        <w:footnoteRef/>
      </w:r>
      <w:r w:rsidRPr="006F0738">
        <w:rPr>
          <w:rFonts w:ascii="Arial" w:eastAsia="Arial" w:hAnsi="Arial" w:cs="Arial"/>
          <w:color w:val="000000"/>
          <w:sz w:val="16"/>
          <w:szCs w:val="16"/>
        </w:rPr>
        <w:t xml:space="preserve"> </w:t>
      </w:r>
      <w:r w:rsidRPr="006F0738">
        <w:rPr>
          <w:rFonts w:ascii="Arial" w:eastAsia="Arial" w:hAnsi="Arial" w:cs="Arial"/>
          <w:color w:val="002060"/>
          <w:sz w:val="16"/>
          <w:szCs w:val="16"/>
          <w:highlight w:val="white"/>
        </w:rPr>
        <w:t>Oficio N° 92-2016 - MINAM/VMDERN - DGCCDRH</w:t>
      </w:r>
    </w:p>
  </w:footnote>
  <w:footnote w:id="11">
    <w:p w14:paraId="1C4026C7" w14:textId="77777777" w:rsidR="00842BE6" w:rsidRPr="006F0738" w:rsidRDefault="00842BE6" w:rsidP="006F0738">
      <w:pPr>
        <w:pBdr>
          <w:top w:val="nil"/>
          <w:left w:val="nil"/>
          <w:bottom w:val="nil"/>
          <w:right w:val="nil"/>
          <w:between w:val="nil"/>
        </w:pBdr>
        <w:contextualSpacing/>
        <w:rPr>
          <w:rFonts w:ascii="Arial" w:eastAsia="Arial" w:hAnsi="Arial" w:cs="Arial"/>
          <w:color w:val="000000"/>
          <w:sz w:val="16"/>
          <w:szCs w:val="16"/>
        </w:rPr>
      </w:pPr>
      <w:r w:rsidRPr="006F0738">
        <w:rPr>
          <w:rFonts w:ascii="Arial" w:hAnsi="Arial" w:cs="Arial"/>
          <w:sz w:val="16"/>
          <w:szCs w:val="16"/>
          <w:vertAlign w:val="superscript"/>
        </w:rPr>
        <w:footnoteRef/>
      </w:r>
      <w:r w:rsidRPr="006F0738">
        <w:rPr>
          <w:rFonts w:ascii="Arial" w:eastAsia="Arial" w:hAnsi="Arial" w:cs="Arial"/>
          <w:color w:val="000000"/>
          <w:sz w:val="16"/>
          <w:szCs w:val="16"/>
        </w:rPr>
        <w:t xml:space="preserve"> </w:t>
      </w:r>
      <w:r w:rsidRPr="006F0738">
        <w:rPr>
          <w:rFonts w:ascii="Arial" w:eastAsia="Arial" w:hAnsi="Arial" w:cs="Arial"/>
          <w:color w:val="002060"/>
          <w:sz w:val="16"/>
          <w:szCs w:val="16"/>
        </w:rPr>
        <w:t>D.S. N° 014-2011 - MINAM.</w:t>
      </w:r>
    </w:p>
  </w:footnote>
  <w:footnote w:id="12">
    <w:p w14:paraId="641C7449" w14:textId="77777777" w:rsidR="00842BE6" w:rsidRPr="006F0738" w:rsidRDefault="00842BE6" w:rsidP="006F0738">
      <w:pPr>
        <w:pBdr>
          <w:top w:val="nil"/>
          <w:left w:val="nil"/>
          <w:bottom w:val="nil"/>
          <w:right w:val="nil"/>
          <w:between w:val="nil"/>
        </w:pBdr>
        <w:contextualSpacing/>
        <w:rPr>
          <w:rFonts w:ascii="Arial" w:eastAsia="Arial" w:hAnsi="Arial" w:cs="Arial"/>
          <w:color w:val="000000"/>
          <w:sz w:val="16"/>
          <w:szCs w:val="16"/>
        </w:rPr>
      </w:pPr>
      <w:r w:rsidRPr="006F0738">
        <w:rPr>
          <w:rFonts w:ascii="Arial" w:hAnsi="Arial" w:cs="Arial"/>
          <w:sz w:val="16"/>
          <w:szCs w:val="16"/>
          <w:vertAlign w:val="superscript"/>
        </w:rPr>
        <w:footnoteRef/>
      </w:r>
      <w:r w:rsidRPr="006F0738">
        <w:rPr>
          <w:rFonts w:ascii="Arial" w:eastAsia="Arial" w:hAnsi="Arial" w:cs="Arial"/>
          <w:color w:val="000000"/>
          <w:sz w:val="16"/>
          <w:szCs w:val="16"/>
        </w:rPr>
        <w:t xml:space="preserve"> </w:t>
      </w:r>
      <w:r w:rsidRPr="006F0738">
        <w:rPr>
          <w:rFonts w:ascii="Arial" w:eastAsia="Arial" w:hAnsi="Arial" w:cs="Arial"/>
          <w:color w:val="002060"/>
          <w:sz w:val="16"/>
          <w:szCs w:val="16"/>
        </w:rPr>
        <w:t>D.S. N° 011-2015 - MINAM.</w:t>
      </w:r>
    </w:p>
  </w:footnote>
  <w:footnote w:id="13">
    <w:p w14:paraId="32A6061D" w14:textId="77777777" w:rsidR="00842BE6" w:rsidRPr="006F0738" w:rsidRDefault="00842BE6" w:rsidP="006F0738">
      <w:pPr>
        <w:pBdr>
          <w:top w:val="nil"/>
          <w:left w:val="nil"/>
          <w:bottom w:val="nil"/>
          <w:right w:val="nil"/>
          <w:between w:val="nil"/>
        </w:pBdr>
        <w:contextualSpacing/>
        <w:rPr>
          <w:rFonts w:ascii="Arial" w:eastAsia="Arial" w:hAnsi="Arial" w:cs="Arial"/>
          <w:color w:val="000000"/>
          <w:sz w:val="16"/>
          <w:szCs w:val="16"/>
        </w:rPr>
      </w:pPr>
      <w:r w:rsidRPr="006F0738">
        <w:rPr>
          <w:rFonts w:ascii="Arial" w:hAnsi="Arial" w:cs="Arial"/>
          <w:sz w:val="16"/>
          <w:szCs w:val="16"/>
          <w:vertAlign w:val="superscript"/>
        </w:rPr>
        <w:footnoteRef/>
      </w:r>
      <w:r w:rsidRPr="006F0738">
        <w:rPr>
          <w:rFonts w:ascii="Arial" w:eastAsia="Arial" w:hAnsi="Arial" w:cs="Arial"/>
          <w:color w:val="000000"/>
          <w:sz w:val="16"/>
          <w:szCs w:val="16"/>
        </w:rPr>
        <w:t xml:space="preserve"> </w:t>
      </w:r>
      <w:r w:rsidRPr="006F0738">
        <w:rPr>
          <w:rFonts w:ascii="Arial" w:eastAsia="Arial" w:hAnsi="Arial" w:cs="Arial"/>
          <w:color w:val="002060"/>
          <w:sz w:val="16"/>
          <w:szCs w:val="16"/>
        </w:rPr>
        <w:t>R.M. N° 090-2016 – MINAM.</w:t>
      </w:r>
    </w:p>
  </w:footnote>
  <w:footnote w:id="14">
    <w:p w14:paraId="26454819" w14:textId="77777777" w:rsidR="00842BE6" w:rsidRPr="006F0738" w:rsidRDefault="00842BE6" w:rsidP="006F0738">
      <w:pPr>
        <w:pBdr>
          <w:top w:val="nil"/>
          <w:left w:val="nil"/>
          <w:bottom w:val="nil"/>
          <w:right w:val="nil"/>
          <w:between w:val="nil"/>
        </w:pBdr>
        <w:contextualSpacing/>
        <w:rPr>
          <w:rFonts w:ascii="Arial" w:eastAsia="Arial" w:hAnsi="Arial" w:cs="Arial"/>
          <w:color w:val="000000"/>
          <w:sz w:val="16"/>
          <w:szCs w:val="16"/>
        </w:rPr>
      </w:pPr>
      <w:r w:rsidRPr="006F0738">
        <w:rPr>
          <w:rFonts w:ascii="Arial" w:hAnsi="Arial" w:cs="Arial"/>
          <w:sz w:val="16"/>
          <w:szCs w:val="16"/>
          <w:vertAlign w:val="superscript"/>
        </w:rPr>
        <w:footnoteRef/>
      </w:r>
      <w:r w:rsidRPr="006F0738">
        <w:rPr>
          <w:rFonts w:ascii="Arial" w:eastAsia="Arial" w:hAnsi="Arial" w:cs="Arial"/>
          <w:color w:val="000000"/>
          <w:sz w:val="16"/>
          <w:szCs w:val="16"/>
        </w:rPr>
        <w:t xml:space="preserve"> </w:t>
      </w:r>
      <w:r w:rsidRPr="006F0738">
        <w:rPr>
          <w:rFonts w:ascii="Arial" w:eastAsia="Arial" w:hAnsi="Arial" w:cs="Arial"/>
          <w:color w:val="002060"/>
          <w:sz w:val="16"/>
          <w:szCs w:val="16"/>
          <w:highlight w:val="white"/>
        </w:rPr>
        <w:t>D.S. N° 058-2016 - RE.</w:t>
      </w:r>
    </w:p>
  </w:footnote>
  <w:footnote w:id="15">
    <w:p w14:paraId="4AEBBE73" w14:textId="77777777" w:rsidR="00842BE6" w:rsidRPr="000719D5" w:rsidRDefault="00842BE6" w:rsidP="000719D5">
      <w:pPr>
        <w:contextualSpacing/>
        <w:jc w:val="both"/>
        <w:rPr>
          <w:rFonts w:ascii="Arial" w:hAnsi="Arial" w:cs="Arial"/>
          <w:color w:val="002060"/>
          <w:sz w:val="16"/>
          <w:szCs w:val="16"/>
        </w:rPr>
      </w:pPr>
      <w:r w:rsidRPr="000719D5">
        <w:rPr>
          <w:rStyle w:val="Refdenotaalpie"/>
          <w:rFonts w:ascii="Arial" w:hAnsi="Arial" w:cs="Arial"/>
          <w:color w:val="002060"/>
          <w:sz w:val="16"/>
          <w:szCs w:val="16"/>
        </w:rPr>
        <w:footnoteRef/>
      </w:r>
      <w:r w:rsidRPr="000719D5">
        <w:rPr>
          <w:rFonts w:ascii="Arial" w:hAnsi="Arial" w:cs="Arial"/>
          <w:color w:val="002060"/>
          <w:sz w:val="16"/>
          <w:szCs w:val="16"/>
        </w:rPr>
        <w:t xml:space="preserve"> FAO y PNUMA 2020. El estado de los bosques del mundo 2020. Los bosques, la biodiversidad y las personas. Roma. </w:t>
      </w:r>
      <w:hyperlink r:id="rId3" w:history="1">
        <w:r w:rsidRPr="000719D5">
          <w:rPr>
            <w:rStyle w:val="Hipervnculo"/>
            <w:rFonts w:ascii="Arial" w:hAnsi="Arial" w:cs="Arial"/>
            <w:color w:val="002060"/>
            <w:sz w:val="16"/>
            <w:szCs w:val="16"/>
          </w:rPr>
          <w:t>https://doi.org/10.4060/ca8642es</w:t>
        </w:r>
      </w:hyperlink>
      <w:r w:rsidRPr="000719D5">
        <w:rPr>
          <w:rFonts w:ascii="Arial" w:hAnsi="Arial" w:cs="Arial"/>
          <w:color w:val="002060"/>
          <w:sz w:val="16"/>
          <w:szCs w:val="16"/>
        </w:rPr>
        <w:t>.)</w:t>
      </w:r>
    </w:p>
  </w:footnote>
  <w:footnote w:id="16">
    <w:p w14:paraId="50F613AC" w14:textId="77777777" w:rsidR="002A6B9A" w:rsidRPr="002A6B9A" w:rsidRDefault="002A6B9A" w:rsidP="002A6B9A">
      <w:pPr>
        <w:pStyle w:val="Textonotapie"/>
        <w:rPr>
          <w:rFonts w:ascii="Arial" w:hAnsi="Arial" w:cs="Arial"/>
          <w:color w:val="002060"/>
          <w:sz w:val="16"/>
          <w:szCs w:val="16"/>
        </w:rPr>
      </w:pPr>
      <w:r w:rsidRPr="002A6B9A">
        <w:rPr>
          <w:rStyle w:val="Refdenotaalpie"/>
          <w:rFonts w:ascii="Arial" w:hAnsi="Arial" w:cs="Arial"/>
          <w:color w:val="002060"/>
          <w:sz w:val="16"/>
          <w:szCs w:val="16"/>
        </w:rPr>
        <w:footnoteRef/>
      </w:r>
      <w:r w:rsidRPr="002A6B9A">
        <w:rPr>
          <w:rFonts w:ascii="Arial" w:hAnsi="Arial" w:cs="Arial"/>
          <w:color w:val="002060"/>
          <w:sz w:val="16"/>
          <w:szCs w:val="16"/>
        </w:rPr>
        <w:t xml:space="preserve"> Consultor para la Organización Mundial de la Salud y las Naciones Unidas para el Medio Ambiente y Director General de Gestión Ambiental en la Secretaría de Medio Ambiente de México</w:t>
      </w:r>
    </w:p>
  </w:footnote>
  <w:footnote w:id="17">
    <w:p w14:paraId="0B5D9BC8" w14:textId="77777777" w:rsidR="002A6B9A" w:rsidRPr="002A6B9A" w:rsidRDefault="002A6B9A" w:rsidP="002A6B9A">
      <w:pPr>
        <w:pStyle w:val="Textonotapie"/>
        <w:contextualSpacing/>
        <w:rPr>
          <w:rFonts w:ascii="Arial" w:hAnsi="Arial" w:cs="Arial"/>
          <w:color w:val="002060"/>
          <w:sz w:val="16"/>
          <w:szCs w:val="16"/>
          <w:lang w:val="es-PE"/>
        </w:rPr>
      </w:pPr>
      <w:r w:rsidRPr="002A6B9A">
        <w:rPr>
          <w:rStyle w:val="Refdenotaalpie"/>
          <w:rFonts w:ascii="Arial" w:hAnsi="Arial" w:cs="Arial"/>
          <w:color w:val="002060"/>
          <w:sz w:val="16"/>
          <w:szCs w:val="16"/>
        </w:rPr>
        <w:footnoteRef/>
      </w:r>
      <w:r w:rsidRPr="002A6B9A">
        <w:rPr>
          <w:rFonts w:ascii="Arial" w:hAnsi="Arial" w:cs="Arial"/>
          <w:color w:val="002060"/>
          <w:sz w:val="16"/>
          <w:szCs w:val="16"/>
        </w:rPr>
        <w:t xml:space="preserve"> </w:t>
      </w:r>
      <w:r>
        <w:rPr>
          <w:rFonts w:ascii="Arial" w:hAnsi="Arial" w:cs="Arial"/>
          <w:color w:val="002060"/>
          <w:sz w:val="16"/>
          <w:szCs w:val="16"/>
        </w:rPr>
        <w:t xml:space="preserve">Pulgar Vidal, </w:t>
      </w:r>
      <w:r w:rsidRPr="002A6B9A">
        <w:rPr>
          <w:rFonts w:ascii="Arial" w:hAnsi="Arial" w:cs="Arial"/>
          <w:color w:val="002060"/>
          <w:sz w:val="16"/>
          <w:szCs w:val="16"/>
        </w:rPr>
        <w:t>Exministro del ambiente, hoy líder de Clima y Energía para WWF.</w:t>
      </w:r>
    </w:p>
  </w:footnote>
  <w:footnote w:id="18">
    <w:p w14:paraId="212E0985" w14:textId="77777777" w:rsidR="00842BE6" w:rsidRPr="000719D5" w:rsidRDefault="00842BE6" w:rsidP="000719D5">
      <w:pPr>
        <w:pBdr>
          <w:top w:val="nil"/>
          <w:left w:val="nil"/>
          <w:bottom w:val="nil"/>
          <w:right w:val="nil"/>
          <w:between w:val="nil"/>
        </w:pBdr>
        <w:contextualSpacing/>
        <w:jc w:val="both"/>
        <w:rPr>
          <w:rFonts w:ascii="Arial" w:eastAsia="Arial" w:hAnsi="Arial" w:cs="Arial"/>
          <w:color w:val="002060"/>
          <w:sz w:val="16"/>
          <w:szCs w:val="16"/>
          <w:highlight w:val="white"/>
        </w:rPr>
      </w:pPr>
      <w:r w:rsidRPr="000719D5">
        <w:rPr>
          <w:rFonts w:ascii="Arial" w:hAnsi="Arial" w:cs="Arial"/>
          <w:color w:val="002060"/>
          <w:sz w:val="16"/>
          <w:szCs w:val="16"/>
          <w:vertAlign w:val="superscript"/>
        </w:rPr>
        <w:footnoteRef/>
      </w:r>
      <w:r w:rsidRPr="000719D5">
        <w:rPr>
          <w:rFonts w:ascii="Arial" w:eastAsia="Arial" w:hAnsi="Arial" w:cs="Arial"/>
          <w:color w:val="002060"/>
          <w:sz w:val="16"/>
          <w:szCs w:val="16"/>
        </w:rPr>
        <w:t xml:space="preserve"> IPCC. (2014). Cambio climático 2014: Impactos, adaptación y vulnerabilidad – Resumen para responsables de políticas. Contribución del Grupo de trabajo II al Quinto Informe de Evaluación del Grupo Intergubernamental de Expertos sobre el Cambio Climático. Ginerbra, Suiza.</w:t>
      </w:r>
    </w:p>
  </w:footnote>
  <w:footnote w:id="19">
    <w:p w14:paraId="7E300030" w14:textId="77777777" w:rsidR="00842BE6" w:rsidRPr="000719D5" w:rsidRDefault="00842BE6" w:rsidP="000719D5">
      <w:pPr>
        <w:pBdr>
          <w:top w:val="nil"/>
          <w:left w:val="nil"/>
          <w:bottom w:val="nil"/>
          <w:right w:val="nil"/>
          <w:between w:val="nil"/>
        </w:pBdr>
        <w:contextualSpacing/>
        <w:rPr>
          <w:rFonts w:ascii="Arial" w:eastAsia="Calibri" w:hAnsi="Arial" w:cs="Arial"/>
          <w:color w:val="002060"/>
          <w:sz w:val="16"/>
          <w:szCs w:val="16"/>
        </w:rPr>
      </w:pPr>
      <w:r w:rsidRPr="000719D5">
        <w:rPr>
          <w:rFonts w:ascii="Arial" w:hAnsi="Arial" w:cs="Arial"/>
          <w:color w:val="002060"/>
          <w:sz w:val="16"/>
          <w:szCs w:val="16"/>
          <w:vertAlign w:val="superscript"/>
        </w:rPr>
        <w:footnoteRef/>
      </w:r>
      <w:r w:rsidRPr="000719D5">
        <w:rPr>
          <w:rFonts w:ascii="Arial" w:eastAsia="Calibri" w:hAnsi="Arial" w:cs="Arial"/>
          <w:color w:val="002060"/>
          <w:sz w:val="16"/>
          <w:szCs w:val="16"/>
        </w:rPr>
        <w:t xml:space="preserve"> ONU Programa para para el medio ambiente - 2019</w:t>
      </w:r>
    </w:p>
    <w:p w14:paraId="12843F94" w14:textId="77777777" w:rsidR="00842BE6" w:rsidRPr="000719D5" w:rsidRDefault="00F62D58" w:rsidP="000719D5">
      <w:pPr>
        <w:pBdr>
          <w:top w:val="nil"/>
          <w:left w:val="nil"/>
          <w:bottom w:val="nil"/>
          <w:right w:val="nil"/>
          <w:between w:val="nil"/>
        </w:pBdr>
        <w:contextualSpacing/>
        <w:rPr>
          <w:rFonts w:ascii="Arial" w:eastAsia="Calibri" w:hAnsi="Arial" w:cs="Arial"/>
          <w:color w:val="002060"/>
          <w:sz w:val="16"/>
          <w:szCs w:val="16"/>
        </w:rPr>
      </w:pPr>
      <w:hyperlink r:id="rId4">
        <w:r w:rsidR="00842BE6" w:rsidRPr="000719D5">
          <w:rPr>
            <w:rFonts w:ascii="Arial" w:eastAsia="Calibri" w:hAnsi="Arial" w:cs="Arial"/>
            <w:color w:val="002060"/>
            <w:sz w:val="16"/>
            <w:szCs w:val="16"/>
            <w:u w:val="single"/>
          </w:rPr>
          <w:t>https://www.unenvironment.org/es/noticias-y-reportajes/comunicado-de-prensa/la-naturaleza-esta-en-un-declive-peligroso-y-sin</w:t>
        </w:r>
      </w:hyperlink>
    </w:p>
  </w:footnote>
  <w:footnote w:id="20">
    <w:p w14:paraId="7687DA44" w14:textId="77777777" w:rsidR="00842BE6" w:rsidRPr="000719D5" w:rsidRDefault="00842BE6" w:rsidP="000719D5">
      <w:pPr>
        <w:pBdr>
          <w:top w:val="nil"/>
          <w:left w:val="nil"/>
          <w:bottom w:val="nil"/>
          <w:right w:val="nil"/>
          <w:between w:val="nil"/>
        </w:pBdr>
        <w:contextualSpacing/>
        <w:jc w:val="both"/>
        <w:rPr>
          <w:rFonts w:ascii="Arial" w:eastAsia="Arial" w:hAnsi="Arial" w:cs="Arial"/>
          <w:color w:val="002060"/>
          <w:sz w:val="16"/>
          <w:szCs w:val="16"/>
        </w:rPr>
      </w:pPr>
      <w:r w:rsidRPr="000719D5">
        <w:rPr>
          <w:rFonts w:ascii="Arial" w:hAnsi="Arial" w:cs="Arial"/>
          <w:color w:val="002060"/>
          <w:sz w:val="16"/>
          <w:szCs w:val="16"/>
          <w:vertAlign w:val="superscript"/>
        </w:rPr>
        <w:footnoteRef/>
      </w:r>
      <w:r w:rsidRPr="000719D5">
        <w:rPr>
          <w:rFonts w:ascii="Arial" w:eastAsia="Arial" w:hAnsi="Arial" w:cs="Arial"/>
          <w:color w:val="002060"/>
          <w:sz w:val="16"/>
          <w:szCs w:val="16"/>
        </w:rPr>
        <w:t xml:space="preserve"> IPCC. (2014). IPCC, 2014: Cambio climático 2014: Informe de síntesis. Contribución de los Grupos de trabajo I, II y III al Quinto Informe de Evaluación del Grupo. Ginebra, Suiza.</w:t>
      </w:r>
    </w:p>
  </w:footnote>
  <w:footnote w:id="21">
    <w:p w14:paraId="54CD6A2C" w14:textId="77777777" w:rsidR="00842BE6" w:rsidRPr="000719D5" w:rsidRDefault="00842BE6" w:rsidP="000719D5">
      <w:pPr>
        <w:pStyle w:val="NormalWeb"/>
        <w:shd w:val="clear" w:color="auto" w:fill="FFFFFF"/>
        <w:spacing w:before="0" w:beforeAutospacing="0" w:after="0" w:afterAutospacing="0"/>
        <w:contextualSpacing/>
        <w:jc w:val="both"/>
        <w:rPr>
          <w:color w:val="002060"/>
        </w:rPr>
      </w:pPr>
      <w:r w:rsidRPr="000719D5">
        <w:rPr>
          <w:rStyle w:val="Refdenotaalpie"/>
          <w:color w:val="002060"/>
        </w:rPr>
        <w:footnoteRef/>
      </w:r>
      <w:r w:rsidRPr="000719D5">
        <w:rPr>
          <w:color w:val="002060"/>
        </w:rPr>
        <w:t xml:space="preserve"> </w:t>
      </w:r>
      <w:r w:rsidRPr="000719D5">
        <w:rPr>
          <w:rFonts w:ascii="Arial" w:hAnsi="Arial" w:cs="Arial"/>
          <w:color w:val="002060"/>
          <w:sz w:val="16"/>
          <w:szCs w:val="16"/>
        </w:rPr>
        <w:t>LA FAO, Los Bosques y el Cambio Climático trabajando con los países para hacer frente al cambio climático por medio de la gestión forestal sostenible.</w:t>
      </w:r>
    </w:p>
  </w:footnote>
  <w:footnote w:id="22">
    <w:p w14:paraId="676F0368" w14:textId="77777777" w:rsidR="00842BE6" w:rsidRPr="000719D5" w:rsidRDefault="00842BE6" w:rsidP="000719D5">
      <w:pPr>
        <w:pBdr>
          <w:top w:val="nil"/>
          <w:left w:val="nil"/>
          <w:bottom w:val="nil"/>
          <w:right w:val="nil"/>
          <w:between w:val="nil"/>
        </w:pBdr>
        <w:contextualSpacing/>
        <w:rPr>
          <w:rFonts w:ascii="Arial" w:eastAsia="Arial" w:hAnsi="Arial" w:cs="Arial"/>
          <w:color w:val="002060"/>
          <w:sz w:val="16"/>
          <w:szCs w:val="16"/>
        </w:rPr>
      </w:pPr>
      <w:r w:rsidRPr="000719D5">
        <w:rPr>
          <w:rFonts w:ascii="Arial" w:hAnsi="Arial" w:cs="Arial"/>
          <w:color w:val="002060"/>
          <w:sz w:val="16"/>
          <w:szCs w:val="16"/>
          <w:vertAlign w:val="superscript"/>
        </w:rPr>
        <w:footnoteRef/>
      </w:r>
      <w:r w:rsidRPr="000719D5">
        <w:rPr>
          <w:rFonts w:ascii="Arial" w:eastAsia="Arial" w:hAnsi="Arial" w:cs="Arial"/>
          <w:color w:val="002060"/>
          <w:sz w:val="16"/>
          <w:szCs w:val="16"/>
        </w:rPr>
        <w:t xml:space="preserve"> </w:t>
      </w:r>
      <w:r w:rsidRPr="000719D5">
        <w:rPr>
          <w:rFonts w:ascii="Arial" w:eastAsia="Arial" w:hAnsi="Arial" w:cs="Arial"/>
          <w:color w:val="002060"/>
          <w:sz w:val="16"/>
          <w:szCs w:val="16"/>
          <w:highlight w:val="white"/>
        </w:rPr>
        <w:t xml:space="preserve"> (IPCC, 2014).</w:t>
      </w:r>
    </w:p>
  </w:footnote>
  <w:footnote w:id="23">
    <w:p w14:paraId="28E29C6D" w14:textId="77777777" w:rsidR="00842BE6" w:rsidRPr="002A6B9A" w:rsidRDefault="00842BE6" w:rsidP="00803AA5">
      <w:pPr>
        <w:jc w:val="both"/>
        <w:rPr>
          <w:rFonts w:ascii="Arial" w:eastAsia="Arial" w:hAnsi="Arial" w:cs="Arial"/>
          <w:color w:val="002060"/>
          <w:sz w:val="16"/>
          <w:szCs w:val="16"/>
        </w:rPr>
      </w:pPr>
      <w:r w:rsidRPr="002A6B9A">
        <w:rPr>
          <w:rFonts w:ascii="Arial" w:hAnsi="Arial" w:cs="Arial"/>
          <w:color w:val="002060"/>
          <w:sz w:val="16"/>
          <w:szCs w:val="16"/>
          <w:vertAlign w:val="superscript"/>
        </w:rPr>
        <w:footnoteRef/>
      </w:r>
      <w:r w:rsidRPr="002A6B9A">
        <w:rPr>
          <w:rFonts w:ascii="Arial" w:eastAsia="Arial" w:hAnsi="Arial" w:cs="Arial"/>
          <w:color w:val="002060"/>
          <w:sz w:val="16"/>
          <w:szCs w:val="16"/>
        </w:rPr>
        <w:t xml:space="preserve"> Carlos Zambrana, EcoHealth Alliance, una organización con sede en Nueva York que monitorea la relación entre la vida silvestre y las enfermedades emergentes.</w:t>
      </w:r>
    </w:p>
  </w:footnote>
  <w:footnote w:id="24">
    <w:p w14:paraId="1897CDCD" w14:textId="77777777" w:rsidR="004D43F0" w:rsidRPr="004D43F0" w:rsidRDefault="004D43F0">
      <w:pPr>
        <w:pStyle w:val="Textonotapie"/>
        <w:rPr>
          <w:lang w:val="es-PE"/>
        </w:rPr>
      </w:pPr>
      <w:r>
        <w:rPr>
          <w:rStyle w:val="Refdenotaalpie"/>
        </w:rPr>
        <w:footnoteRef/>
      </w:r>
      <w:r>
        <w:t xml:space="preserve"> </w:t>
      </w:r>
      <w:r w:rsidRPr="004D43F0">
        <w:rPr>
          <w:rFonts w:ascii="Arial" w:eastAsia="Arial" w:hAnsi="Arial" w:cs="Arial"/>
          <w:color w:val="002060"/>
          <w:sz w:val="16"/>
          <w:szCs w:val="16"/>
        </w:rPr>
        <w:t>ERCC, 2017.</w:t>
      </w:r>
    </w:p>
  </w:footnote>
  <w:footnote w:id="25">
    <w:p w14:paraId="12BF00E6" w14:textId="77777777" w:rsidR="00842BE6" w:rsidRPr="00246B6C" w:rsidRDefault="00842BE6">
      <w:pPr>
        <w:pBdr>
          <w:top w:val="nil"/>
          <w:left w:val="nil"/>
          <w:bottom w:val="nil"/>
          <w:right w:val="nil"/>
          <w:between w:val="nil"/>
        </w:pBdr>
        <w:rPr>
          <w:rFonts w:ascii="Arial" w:eastAsia="Calibri" w:hAnsi="Arial" w:cs="Arial"/>
          <w:color w:val="000000"/>
          <w:sz w:val="16"/>
          <w:szCs w:val="16"/>
        </w:rPr>
      </w:pPr>
      <w:r w:rsidRPr="00246B6C">
        <w:rPr>
          <w:rFonts w:ascii="Arial" w:hAnsi="Arial" w:cs="Arial"/>
          <w:sz w:val="16"/>
          <w:szCs w:val="16"/>
          <w:vertAlign w:val="superscript"/>
        </w:rPr>
        <w:footnoteRef/>
      </w:r>
      <w:r w:rsidRPr="00246B6C">
        <w:rPr>
          <w:rFonts w:ascii="Arial" w:eastAsia="Calibri" w:hAnsi="Arial" w:cs="Arial"/>
          <w:color w:val="000000"/>
          <w:sz w:val="16"/>
          <w:szCs w:val="16"/>
        </w:rPr>
        <w:t xml:space="preserve"> GEOBOSQUE – MINAN – 2019.</w:t>
      </w:r>
    </w:p>
  </w:footnote>
  <w:footnote w:id="26">
    <w:p w14:paraId="44923FB6" w14:textId="77777777" w:rsidR="00842BE6" w:rsidRDefault="00842BE6">
      <w:pPr>
        <w:pBdr>
          <w:top w:val="nil"/>
          <w:left w:val="nil"/>
          <w:bottom w:val="nil"/>
          <w:right w:val="nil"/>
          <w:between w:val="nil"/>
        </w:pBdr>
        <w:rPr>
          <w:rFonts w:ascii="Arial" w:eastAsia="Arial" w:hAnsi="Arial" w:cs="Arial"/>
          <w:color w:val="002060"/>
          <w:sz w:val="16"/>
          <w:szCs w:val="16"/>
        </w:rPr>
      </w:pPr>
      <w:r>
        <w:rPr>
          <w:vertAlign w:val="superscript"/>
        </w:rPr>
        <w:footnoteRef/>
      </w:r>
      <w:r>
        <w:rPr>
          <w:rFonts w:ascii="Arial" w:eastAsia="Arial" w:hAnsi="Arial" w:cs="Arial"/>
          <w:color w:val="002060"/>
          <w:sz w:val="16"/>
          <w:szCs w:val="16"/>
        </w:rPr>
        <w:t xml:space="preserve"> Mesozonificación Ecológica y Económica para el Desarrollo Sostenible de la Selva de Huánuco, Suelos y Capacidad de Uso Mayor de las Tierras  IIAP – 2010.</w:t>
      </w:r>
    </w:p>
  </w:footnote>
  <w:footnote w:id="27">
    <w:p w14:paraId="39A2FFE3" w14:textId="77777777" w:rsidR="00842BE6" w:rsidRDefault="00842BE6">
      <w:pPr>
        <w:jc w:val="both"/>
        <w:rPr>
          <w:rFonts w:ascii="Arial" w:eastAsia="Arial" w:hAnsi="Arial" w:cs="Arial"/>
          <w:color w:val="002060"/>
          <w:sz w:val="16"/>
          <w:szCs w:val="16"/>
        </w:rPr>
      </w:pPr>
      <w:r w:rsidRPr="008500BE">
        <w:rPr>
          <w:rFonts w:ascii="Arial" w:hAnsi="Arial" w:cs="Arial"/>
          <w:sz w:val="16"/>
          <w:szCs w:val="16"/>
          <w:vertAlign w:val="superscript"/>
        </w:rPr>
        <w:footnoteRef/>
      </w:r>
      <w:r w:rsidRPr="008500BE">
        <w:rPr>
          <w:rFonts w:ascii="Arial" w:eastAsia="Arial" w:hAnsi="Arial" w:cs="Arial"/>
          <w:color w:val="002060"/>
          <w:sz w:val="16"/>
          <w:szCs w:val="16"/>
        </w:rPr>
        <w:t xml:space="preserve"> R.M. N° 0549 – 2002 – AG, que aprueba la creación del Bosque del BPP, en el departamento de Huánuco</w:t>
      </w:r>
      <w:r>
        <w:rPr>
          <w:rFonts w:ascii="Arial" w:eastAsia="Arial" w:hAnsi="Arial" w:cs="Arial"/>
          <w:color w:val="002060"/>
          <w:sz w:val="16"/>
          <w:szCs w:val="16"/>
        </w:rPr>
        <w:t>.</w:t>
      </w:r>
    </w:p>
    <w:p w14:paraId="3D3F67FB" w14:textId="77777777" w:rsidR="00842BE6" w:rsidRDefault="00842BE6" w:rsidP="00A51281">
      <w:pPr>
        <w:pBdr>
          <w:top w:val="nil"/>
          <w:left w:val="nil"/>
          <w:bottom w:val="nil"/>
          <w:right w:val="nil"/>
          <w:between w:val="nil"/>
        </w:pBdr>
        <w:rPr>
          <w:rFonts w:ascii="Calibri" w:eastAsia="Calibri" w:hAnsi="Calibri" w:cs="Calibri"/>
          <w:color w:val="002060"/>
          <w:sz w:val="18"/>
          <w:szCs w:val="18"/>
        </w:rPr>
      </w:pPr>
    </w:p>
  </w:footnote>
  <w:footnote w:id="28">
    <w:p w14:paraId="4484CAB8" w14:textId="77777777" w:rsidR="00842BE6" w:rsidRPr="00842BE6" w:rsidRDefault="00842BE6" w:rsidP="00A51281">
      <w:pPr>
        <w:pBdr>
          <w:top w:val="nil"/>
          <w:left w:val="nil"/>
          <w:bottom w:val="nil"/>
          <w:right w:val="nil"/>
          <w:between w:val="nil"/>
        </w:pBdr>
        <w:rPr>
          <w:rFonts w:ascii="Arial" w:eastAsia="Arial" w:hAnsi="Arial" w:cs="Arial"/>
          <w:color w:val="000000"/>
          <w:sz w:val="16"/>
          <w:szCs w:val="16"/>
        </w:rPr>
      </w:pPr>
      <w:r w:rsidRPr="00842BE6">
        <w:rPr>
          <w:rFonts w:ascii="Arial" w:hAnsi="Arial" w:cs="Arial"/>
          <w:sz w:val="16"/>
          <w:szCs w:val="16"/>
          <w:vertAlign w:val="superscript"/>
        </w:rPr>
        <w:footnoteRef/>
      </w:r>
      <w:r w:rsidRPr="00842BE6">
        <w:rPr>
          <w:rFonts w:ascii="Arial" w:eastAsia="Calibri" w:hAnsi="Arial" w:cs="Arial"/>
          <w:color w:val="000000"/>
          <w:sz w:val="16"/>
          <w:szCs w:val="16"/>
        </w:rPr>
        <w:t xml:space="preserve"> </w:t>
      </w:r>
      <w:r w:rsidRPr="00842BE6">
        <w:rPr>
          <w:rFonts w:ascii="Arial" w:eastAsia="Arial" w:hAnsi="Arial" w:cs="Arial"/>
          <w:color w:val="002060"/>
          <w:sz w:val="16"/>
          <w:szCs w:val="16"/>
        </w:rPr>
        <w:t>celag.org-2018</w:t>
      </w:r>
    </w:p>
  </w:footnote>
  <w:footnote w:id="29">
    <w:p w14:paraId="3561DA13" w14:textId="77777777" w:rsidR="00842BE6" w:rsidRPr="00842BE6" w:rsidRDefault="00842BE6" w:rsidP="00A51281">
      <w:pPr>
        <w:pBdr>
          <w:top w:val="nil"/>
          <w:left w:val="nil"/>
          <w:bottom w:val="nil"/>
          <w:right w:val="nil"/>
          <w:between w:val="nil"/>
        </w:pBdr>
        <w:rPr>
          <w:rFonts w:ascii="Arial" w:eastAsia="Arial" w:hAnsi="Arial" w:cs="Arial"/>
          <w:color w:val="000000"/>
          <w:sz w:val="16"/>
          <w:szCs w:val="16"/>
        </w:rPr>
      </w:pPr>
      <w:r w:rsidRPr="00842BE6">
        <w:rPr>
          <w:rFonts w:ascii="Arial" w:hAnsi="Arial" w:cs="Arial"/>
          <w:sz w:val="16"/>
          <w:szCs w:val="16"/>
          <w:vertAlign w:val="superscript"/>
        </w:rPr>
        <w:footnoteRef/>
      </w:r>
      <w:r w:rsidRPr="00842BE6">
        <w:rPr>
          <w:rFonts w:ascii="Arial" w:eastAsia="Arial" w:hAnsi="Arial" w:cs="Arial"/>
          <w:color w:val="000000"/>
          <w:sz w:val="16"/>
          <w:szCs w:val="16"/>
        </w:rPr>
        <w:t xml:space="preserve"> </w:t>
      </w:r>
      <w:hyperlink r:id="rId5">
        <w:r w:rsidRPr="00842BE6">
          <w:rPr>
            <w:rFonts w:ascii="Arial" w:eastAsia="Arial" w:hAnsi="Arial" w:cs="Arial"/>
            <w:color w:val="002060"/>
            <w:sz w:val="16"/>
            <w:szCs w:val="16"/>
          </w:rPr>
          <w:t>http://www.revistaandinacbc.com/wp-content/uploads/2016/ra29/ra-29-1997-02.pdf</w:t>
        </w:r>
      </w:hyperlink>
    </w:p>
  </w:footnote>
  <w:footnote w:id="30">
    <w:p w14:paraId="05F7CD98" w14:textId="77777777" w:rsidR="00842BE6" w:rsidRPr="00842BE6" w:rsidRDefault="00842BE6" w:rsidP="00A51281">
      <w:pPr>
        <w:pBdr>
          <w:top w:val="nil"/>
          <w:left w:val="nil"/>
          <w:bottom w:val="nil"/>
          <w:right w:val="nil"/>
          <w:between w:val="nil"/>
        </w:pBdr>
        <w:rPr>
          <w:rFonts w:ascii="Arial" w:eastAsia="Arial" w:hAnsi="Arial" w:cs="Arial"/>
          <w:color w:val="000000"/>
          <w:sz w:val="16"/>
          <w:szCs w:val="16"/>
        </w:rPr>
      </w:pPr>
      <w:r w:rsidRPr="00842BE6">
        <w:rPr>
          <w:rFonts w:ascii="Arial" w:hAnsi="Arial" w:cs="Arial"/>
          <w:sz w:val="16"/>
          <w:szCs w:val="16"/>
          <w:vertAlign w:val="superscript"/>
        </w:rPr>
        <w:footnoteRef/>
      </w:r>
      <w:r w:rsidRPr="00842BE6">
        <w:rPr>
          <w:rFonts w:ascii="Arial" w:eastAsia="Arial" w:hAnsi="Arial" w:cs="Arial"/>
          <w:color w:val="000000"/>
          <w:sz w:val="16"/>
          <w:szCs w:val="16"/>
        </w:rPr>
        <w:t xml:space="preserve"> </w:t>
      </w:r>
      <w:r w:rsidRPr="00842BE6">
        <w:rPr>
          <w:rFonts w:ascii="Arial" w:eastAsia="Arial" w:hAnsi="Arial" w:cs="Arial"/>
          <w:color w:val="002060"/>
          <w:sz w:val="16"/>
          <w:szCs w:val="16"/>
        </w:rPr>
        <w:t>INCORE 2019 - Instituto Peruano de Economía – IPE.</w:t>
      </w:r>
    </w:p>
  </w:footnote>
  <w:footnote w:id="31">
    <w:p w14:paraId="0E96E6A9" w14:textId="77777777" w:rsidR="00842BE6" w:rsidRPr="008500BE" w:rsidRDefault="00842BE6" w:rsidP="00A51281">
      <w:pPr>
        <w:pBdr>
          <w:top w:val="nil"/>
          <w:left w:val="nil"/>
          <w:bottom w:val="nil"/>
          <w:right w:val="nil"/>
          <w:between w:val="nil"/>
        </w:pBdr>
        <w:rPr>
          <w:rFonts w:ascii="Arial" w:eastAsia="Arial" w:hAnsi="Arial" w:cs="Arial"/>
          <w:color w:val="002060"/>
          <w:sz w:val="16"/>
          <w:szCs w:val="16"/>
        </w:rPr>
      </w:pPr>
      <w:r w:rsidRPr="008500BE">
        <w:rPr>
          <w:rFonts w:ascii="Arial" w:hAnsi="Arial" w:cs="Arial"/>
          <w:sz w:val="16"/>
          <w:szCs w:val="16"/>
          <w:vertAlign w:val="superscript"/>
        </w:rPr>
        <w:footnoteRef/>
      </w:r>
      <w:r w:rsidRPr="008500BE">
        <w:rPr>
          <w:rFonts w:ascii="Arial" w:eastAsia="Arial" w:hAnsi="Arial" w:cs="Arial"/>
          <w:color w:val="002060"/>
          <w:sz w:val="16"/>
          <w:szCs w:val="16"/>
        </w:rPr>
        <w:t xml:space="preserve"> INEI - Censos Nacionales 2017: XII de Población, VII de Vivienda y III de Comunidades Indígenas</w:t>
      </w:r>
    </w:p>
  </w:footnote>
  <w:footnote w:id="32">
    <w:p w14:paraId="4E1B9BD7" w14:textId="77777777" w:rsidR="00842BE6" w:rsidRPr="008500BE" w:rsidRDefault="00842BE6" w:rsidP="00A51281">
      <w:pPr>
        <w:pBdr>
          <w:top w:val="nil"/>
          <w:left w:val="nil"/>
          <w:bottom w:val="nil"/>
          <w:right w:val="nil"/>
          <w:between w:val="nil"/>
        </w:pBdr>
        <w:contextualSpacing/>
        <w:rPr>
          <w:rFonts w:ascii="Arial" w:eastAsia="Arial" w:hAnsi="Arial" w:cs="Arial"/>
          <w:color w:val="002060"/>
          <w:sz w:val="16"/>
          <w:szCs w:val="16"/>
        </w:rPr>
      </w:pPr>
      <w:r w:rsidRPr="008500BE">
        <w:rPr>
          <w:rFonts w:ascii="Arial" w:hAnsi="Arial" w:cs="Arial"/>
          <w:sz w:val="16"/>
          <w:szCs w:val="16"/>
          <w:vertAlign w:val="superscript"/>
        </w:rPr>
        <w:footnoteRef/>
      </w:r>
      <w:r w:rsidRPr="008500BE">
        <w:rPr>
          <w:rFonts w:ascii="Arial" w:eastAsia="Arial" w:hAnsi="Arial" w:cs="Arial"/>
          <w:color w:val="002060"/>
          <w:sz w:val="16"/>
          <w:szCs w:val="16"/>
        </w:rPr>
        <w:t xml:space="preserve"> OEAI-HCO.ACS.</w:t>
      </w:r>
    </w:p>
  </w:footnote>
  <w:footnote w:id="33">
    <w:p w14:paraId="143654A9" w14:textId="77777777" w:rsidR="00842BE6" w:rsidRPr="008500BE" w:rsidRDefault="00842BE6" w:rsidP="00A51281">
      <w:pPr>
        <w:pBdr>
          <w:top w:val="nil"/>
          <w:left w:val="nil"/>
          <w:bottom w:val="nil"/>
          <w:right w:val="nil"/>
          <w:between w:val="nil"/>
        </w:pBdr>
        <w:contextualSpacing/>
        <w:rPr>
          <w:rFonts w:ascii="Arial" w:eastAsia="Arial" w:hAnsi="Arial" w:cs="Arial"/>
          <w:color w:val="002060"/>
          <w:sz w:val="16"/>
          <w:szCs w:val="16"/>
        </w:rPr>
      </w:pPr>
      <w:r w:rsidRPr="008500BE">
        <w:rPr>
          <w:rFonts w:ascii="Arial" w:hAnsi="Arial" w:cs="Arial"/>
          <w:sz w:val="16"/>
          <w:szCs w:val="16"/>
          <w:vertAlign w:val="superscript"/>
        </w:rPr>
        <w:footnoteRef/>
      </w:r>
      <w:r w:rsidRPr="008500BE">
        <w:rPr>
          <w:rFonts w:ascii="Arial" w:eastAsia="Calibri" w:hAnsi="Arial" w:cs="Arial"/>
          <w:color w:val="002060"/>
          <w:sz w:val="16"/>
          <w:szCs w:val="16"/>
        </w:rPr>
        <w:t xml:space="preserve"> </w:t>
      </w:r>
      <w:r w:rsidRPr="008500BE">
        <w:rPr>
          <w:rFonts w:ascii="Arial" w:eastAsia="Arial" w:hAnsi="Arial" w:cs="Arial"/>
          <w:color w:val="002060"/>
          <w:sz w:val="16"/>
          <w:szCs w:val="16"/>
          <w:highlight w:val="white"/>
        </w:rPr>
        <w:t>IV Cenagro 2012</w:t>
      </w:r>
    </w:p>
  </w:footnote>
  <w:footnote w:id="34">
    <w:p w14:paraId="035A8ACD" w14:textId="77777777" w:rsidR="00842BE6" w:rsidRPr="008500BE" w:rsidRDefault="00842BE6" w:rsidP="00A51281">
      <w:pPr>
        <w:pBdr>
          <w:top w:val="nil"/>
          <w:left w:val="nil"/>
          <w:bottom w:val="nil"/>
          <w:right w:val="nil"/>
          <w:between w:val="nil"/>
        </w:pBdr>
        <w:contextualSpacing/>
        <w:rPr>
          <w:rFonts w:ascii="Arial" w:eastAsia="Calibri" w:hAnsi="Arial" w:cs="Arial"/>
          <w:color w:val="002060"/>
          <w:sz w:val="16"/>
          <w:szCs w:val="16"/>
        </w:rPr>
      </w:pPr>
      <w:r w:rsidRPr="008500BE">
        <w:rPr>
          <w:rFonts w:ascii="Arial" w:hAnsi="Arial" w:cs="Arial"/>
          <w:sz w:val="16"/>
          <w:szCs w:val="16"/>
          <w:vertAlign w:val="superscript"/>
        </w:rPr>
        <w:footnoteRef/>
      </w:r>
      <w:r w:rsidRPr="008500BE">
        <w:rPr>
          <w:rFonts w:ascii="Arial" w:eastAsia="Arial" w:hAnsi="Arial" w:cs="Arial"/>
          <w:color w:val="002060"/>
          <w:sz w:val="16"/>
          <w:szCs w:val="16"/>
        </w:rPr>
        <w:t xml:space="preserve"> DRA Huánuco</w:t>
      </w:r>
      <w:r w:rsidRPr="008500BE">
        <w:rPr>
          <w:rFonts w:ascii="Arial" w:eastAsia="Calibri" w:hAnsi="Arial" w:cs="Arial"/>
          <w:color w:val="002060"/>
          <w:sz w:val="16"/>
          <w:szCs w:val="16"/>
        </w:rPr>
        <w:t>.</w:t>
      </w:r>
    </w:p>
  </w:footnote>
  <w:footnote w:id="35">
    <w:p w14:paraId="438B7ED0" w14:textId="77777777" w:rsidR="00842BE6" w:rsidRPr="008500BE" w:rsidRDefault="00842BE6" w:rsidP="00A51281">
      <w:pPr>
        <w:pBdr>
          <w:top w:val="nil"/>
          <w:left w:val="nil"/>
          <w:bottom w:val="nil"/>
          <w:right w:val="nil"/>
          <w:between w:val="nil"/>
        </w:pBdr>
        <w:rPr>
          <w:rFonts w:ascii="Arial" w:eastAsia="Arial" w:hAnsi="Arial" w:cs="Arial"/>
          <w:color w:val="000000"/>
          <w:sz w:val="16"/>
          <w:szCs w:val="16"/>
        </w:rPr>
      </w:pPr>
      <w:r w:rsidRPr="008500BE">
        <w:rPr>
          <w:rFonts w:ascii="Arial" w:hAnsi="Arial" w:cs="Arial"/>
          <w:sz w:val="16"/>
          <w:szCs w:val="16"/>
          <w:vertAlign w:val="superscript"/>
        </w:rPr>
        <w:footnoteRef/>
      </w:r>
      <w:r w:rsidRPr="008500BE">
        <w:rPr>
          <w:rFonts w:ascii="Arial" w:eastAsia="Calibri" w:hAnsi="Arial" w:cs="Arial"/>
          <w:color w:val="000000"/>
          <w:sz w:val="16"/>
          <w:szCs w:val="16"/>
        </w:rPr>
        <w:t xml:space="preserve"> </w:t>
      </w:r>
      <w:r w:rsidRPr="008500BE">
        <w:rPr>
          <w:rFonts w:ascii="Arial" w:eastAsia="Arial" w:hAnsi="Arial" w:cs="Arial"/>
          <w:color w:val="002060"/>
          <w:sz w:val="16"/>
          <w:szCs w:val="16"/>
        </w:rPr>
        <w:t>Mediante la Ordenanza Nº 098-2018-GRHCO</w:t>
      </w:r>
    </w:p>
  </w:footnote>
  <w:footnote w:id="36">
    <w:p w14:paraId="598CCF12" w14:textId="77777777" w:rsidR="00842BE6" w:rsidRPr="008500BE" w:rsidRDefault="00842BE6">
      <w:pPr>
        <w:jc w:val="both"/>
        <w:rPr>
          <w:rFonts w:ascii="Arial" w:eastAsia="Arial" w:hAnsi="Arial" w:cs="Arial"/>
          <w:color w:val="002060"/>
          <w:sz w:val="16"/>
          <w:szCs w:val="16"/>
        </w:rPr>
      </w:pPr>
      <w:r w:rsidRPr="008500BE">
        <w:rPr>
          <w:rFonts w:ascii="Arial" w:hAnsi="Arial" w:cs="Arial"/>
          <w:sz w:val="16"/>
          <w:szCs w:val="16"/>
          <w:vertAlign w:val="superscript"/>
        </w:rPr>
        <w:footnoteRef/>
      </w:r>
      <w:r w:rsidRPr="008500BE">
        <w:rPr>
          <w:rFonts w:ascii="Arial" w:eastAsia="Arial" w:hAnsi="Arial" w:cs="Arial"/>
          <w:sz w:val="16"/>
          <w:szCs w:val="16"/>
        </w:rPr>
        <w:t xml:space="preserve"> </w:t>
      </w:r>
      <w:r w:rsidRPr="008500BE">
        <w:rPr>
          <w:rFonts w:ascii="Arial" w:eastAsia="Arial" w:hAnsi="Arial" w:cs="Arial"/>
          <w:color w:val="002060"/>
          <w:sz w:val="16"/>
          <w:szCs w:val="16"/>
        </w:rPr>
        <w:t>Decreto Ley Nº 17716, Nueva Reforma Agraria, que cambió el nombre de “comunidades de indígenas” por el de “comunidades campesinas”.</w:t>
      </w:r>
    </w:p>
  </w:footnote>
  <w:footnote w:id="37">
    <w:p w14:paraId="09F0D9C2" w14:textId="77777777" w:rsidR="00842BE6" w:rsidRPr="008500BE" w:rsidRDefault="00842BE6">
      <w:pPr>
        <w:pBdr>
          <w:top w:val="nil"/>
          <w:left w:val="nil"/>
          <w:bottom w:val="nil"/>
          <w:right w:val="nil"/>
          <w:between w:val="nil"/>
        </w:pBdr>
        <w:rPr>
          <w:rFonts w:ascii="Arial" w:eastAsia="Arial" w:hAnsi="Arial" w:cs="Arial"/>
          <w:color w:val="000000"/>
          <w:sz w:val="16"/>
          <w:szCs w:val="16"/>
        </w:rPr>
      </w:pPr>
      <w:r w:rsidRPr="008500BE">
        <w:rPr>
          <w:rFonts w:ascii="Arial" w:hAnsi="Arial" w:cs="Arial"/>
          <w:sz w:val="16"/>
          <w:szCs w:val="16"/>
          <w:vertAlign w:val="superscript"/>
        </w:rPr>
        <w:footnoteRef/>
      </w:r>
      <w:r w:rsidRPr="008500BE">
        <w:rPr>
          <w:rFonts w:ascii="Arial" w:eastAsia="Calibri" w:hAnsi="Arial" w:cs="Arial"/>
          <w:color w:val="000000"/>
          <w:sz w:val="16"/>
          <w:szCs w:val="16"/>
        </w:rPr>
        <w:t xml:space="preserve"> ZEE </w:t>
      </w:r>
      <w:r w:rsidRPr="008500BE">
        <w:rPr>
          <w:rFonts w:ascii="Arial" w:eastAsia="Arial" w:hAnsi="Arial" w:cs="Arial"/>
          <w:color w:val="002060"/>
          <w:sz w:val="16"/>
          <w:szCs w:val="16"/>
        </w:rPr>
        <w:t>para cinco provincias de la región Huánuco (Huánuco, Leoncio Prado, Marañón, Pachitea y Puerto Inca)</w:t>
      </w:r>
    </w:p>
  </w:footnote>
  <w:footnote w:id="38">
    <w:p w14:paraId="77DE9062" w14:textId="77777777" w:rsidR="00842BE6" w:rsidRDefault="00842BE6">
      <w:pPr>
        <w:jc w:val="both"/>
        <w:rPr>
          <w:rFonts w:ascii="Arial" w:eastAsia="Arial" w:hAnsi="Arial" w:cs="Arial"/>
          <w:color w:val="002060"/>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002060"/>
          <w:sz w:val="16"/>
          <w:szCs w:val="16"/>
        </w:rPr>
        <w:t>Decreto Supremo N° 014-2019- MINAM.</w:t>
      </w:r>
    </w:p>
    <w:p w14:paraId="3056068C" w14:textId="77777777" w:rsidR="00842BE6" w:rsidRDefault="00842BE6">
      <w:pPr>
        <w:pBdr>
          <w:top w:val="nil"/>
          <w:left w:val="nil"/>
          <w:bottom w:val="nil"/>
          <w:right w:val="nil"/>
          <w:between w:val="nil"/>
        </w:pBdr>
        <w:rPr>
          <w:rFonts w:ascii="Calibri" w:eastAsia="Calibri" w:hAnsi="Calibri" w:cs="Calibri"/>
          <w:color w:val="000000"/>
          <w:sz w:val="16"/>
          <w:szCs w:val="16"/>
        </w:rPr>
      </w:pPr>
    </w:p>
  </w:footnote>
  <w:footnote w:id="39">
    <w:p w14:paraId="6F4607F1" w14:textId="77777777" w:rsidR="00842BE6" w:rsidRDefault="00842BE6">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w:t>
      </w:r>
      <w:r>
        <w:rPr>
          <w:rFonts w:ascii="Arial" w:eastAsia="Arial" w:hAnsi="Arial" w:cs="Arial"/>
          <w:color w:val="002060"/>
          <w:sz w:val="16"/>
          <w:szCs w:val="16"/>
        </w:rPr>
        <w:t>D.S. Nº 012-2009-MINAM del 22 de mayo del 2009</w:t>
      </w:r>
    </w:p>
  </w:footnote>
  <w:footnote w:id="40">
    <w:p w14:paraId="6CAB95A5" w14:textId="77777777" w:rsidR="00842BE6" w:rsidRPr="001367B5" w:rsidRDefault="00842BE6">
      <w:pPr>
        <w:pBdr>
          <w:top w:val="nil"/>
          <w:left w:val="nil"/>
          <w:bottom w:val="nil"/>
          <w:right w:val="nil"/>
          <w:between w:val="nil"/>
        </w:pBdr>
        <w:rPr>
          <w:rFonts w:ascii="Arial" w:eastAsia="Arial" w:hAnsi="Arial" w:cs="Arial"/>
          <w:color w:val="002060"/>
          <w:sz w:val="16"/>
          <w:szCs w:val="16"/>
          <w:highlight w:val="white"/>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w:t>
      </w:r>
      <w:r w:rsidRPr="001367B5">
        <w:rPr>
          <w:rFonts w:ascii="Arial" w:eastAsia="Arial" w:hAnsi="Arial" w:cs="Arial"/>
          <w:color w:val="002060"/>
          <w:sz w:val="16"/>
          <w:szCs w:val="16"/>
          <w:highlight w:val="white"/>
        </w:rPr>
        <w:t>Política Nacional de Modernización de la Gestión Pública al 2021</w:t>
      </w:r>
    </w:p>
    <w:p w14:paraId="0D98C6C4" w14:textId="77777777" w:rsidR="00842BE6" w:rsidRPr="001367B5" w:rsidRDefault="00F62D58">
      <w:pPr>
        <w:pBdr>
          <w:top w:val="nil"/>
          <w:left w:val="nil"/>
          <w:bottom w:val="nil"/>
          <w:right w:val="nil"/>
          <w:between w:val="nil"/>
        </w:pBdr>
        <w:rPr>
          <w:rFonts w:ascii="Arial" w:eastAsia="Arial" w:hAnsi="Arial" w:cs="Arial"/>
          <w:color w:val="002060"/>
          <w:sz w:val="16"/>
          <w:szCs w:val="16"/>
        </w:rPr>
      </w:pPr>
      <w:hyperlink r:id="rId6">
        <w:r w:rsidR="00842BE6" w:rsidRPr="001367B5">
          <w:rPr>
            <w:rFonts w:ascii="Arial" w:eastAsia="Arial" w:hAnsi="Arial" w:cs="Arial"/>
            <w:color w:val="002060"/>
            <w:sz w:val="16"/>
            <w:szCs w:val="16"/>
            <w:u w:val="single"/>
          </w:rPr>
          <w:t>https://sgp.pcm.gob.pe/politica-nacional-de-modernizacion-de-la-gestion-publica-al-2021/</w:t>
        </w:r>
      </w:hyperlink>
    </w:p>
  </w:footnote>
  <w:footnote w:id="41">
    <w:p w14:paraId="390E0F5E" w14:textId="77777777" w:rsidR="00842BE6" w:rsidRPr="001367B5" w:rsidRDefault="00842BE6">
      <w:pPr>
        <w:pBdr>
          <w:top w:val="nil"/>
          <w:left w:val="nil"/>
          <w:bottom w:val="nil"/>
          <w:right w:val="nil"/>
          <w:between w:val="nil"/>
        </w:pBdr>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Clasificador Funcional Programático (MEF)</w:t>
      </w:r>
    </w:p>
  </w:footnote>
  <w:footnote w:id="42">
    <w:p w14:paraId="6B704B88" w14:textId="77777777" w:rsidR="00842BE6" w:rsidRPr="001367B5" w:rsidRDefault="00842BE6">
      <w:pPr>
        <w:pBdr>
          <w:top w:val="nil"/>
          <w:left w:val="nil"/>
          <w:bottom w:val="nil"/>
          <w:right w:val="nil"/>
          <w:between w:val="nil"/>
        </w:pBdr>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Acuerdo de Gobernabilidad Nacional 2002</w:t>
      </w:r>
    </w:p>
  </w:footnote>
  <w:footnote w:id="43">
    <w:p w14:paraId="4E0E9E0F" w14:textId="77777777" w:rsidR="00842BE6" w:rsidRPr="001367B5" w:rsidRDefault="00842BE6">
      <w:pPr>
        <w:pBdr>
          <w:top w:val="nil"/>
          <w:left w:val="nil"/>
          <w:bottom w:val="nil"/>
          <w:right w:val="nil"/>
          <w:between w:val="nil"/>
        </w:pBdr>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w:t>
      </w:r>
      <w:hyperlink r:id="rId7">
        <w:r w:rsidRPr="001367B5">
          <w:rPr>
            <w:rFonts w:ascii="Arial" w:eastAsia="Arial" w:hAnsi="Arial" w:cs="Arial"/>
            <w:color w:val="002060"/>
            <w:sz w:val="16"/>
            <w:szCs w:val="16"/>
            <w:u w:val="single"/>
          </w:rPr>
          <w:t>http://www.elperuano.pe/noticia-cinco-ejes-guiaran-politica-del-gobierno-al-bicentenario-66623.aspx</w:t>
        </w:r>
      </w:hyperlink>
    </w:p>
  </w:footnote>
  <w:footnote w:id="44">
    <w:p w14:paraId="21D296D1" w14:textId="77777777" w:rsidR="00842BE6" w:rsidRPr="001367B5" w:rsidRDefault="00842BE6">
      <w:pPr>
        <w:pBdr>
          <w:top w:val="nil"/>
          <w:left w:val="nil"/>
          <w:bottom w:val="nil"/>
          <w:right w:val="nil"/>
          <w:between w:val="nil"/>
        </w:pBdr>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w:t>
      </w:r>
      <w:hyperlink r:id="rId8">
        <w:r w:rsidRPr="001367B5">
          <w:rPr>
            <w:rFonts w:ascii="Arial" w:eastAsia="Arial" w:hAnsi="Arial" w:cs="Arial"/>
            <w:color w:val="002060"/>
            <w:sz w:val="16"/>
            <w:szCs w:val="16"/>
            <w:u w:val="single"/>
          </w:rPr>
          <w:t>http://www.minam.gob.pe/wp-content/uploads/2013/08/Pol%C3%ADtica-Nacional-del-Ambiente.pdf</w:t>
        </w:r>
      </w:hyperlink>
    </w:p>
  </w:footnote>
  <w:footnote w:id="45">
    <w:p w14:paraId="26F0A2F3" w14:textId="77777777" w:rsidR="00842BE6" w:rsidRPr="001367B5" w:rsidRDefault="00842BE6">
      <w:pPr>
        <w:pBdr>
          <w:top w:val="nil"/>
          <w:left w:val="nil"/>
          <w:bottom w:val="nil"/>
          <w:right w:val="nil"/>
          <w:between w:val="nil"/>
        </w:pBdr>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w:t>
      </w:r>
      <w:hyperlink r:id="rId9">
        <w:r w:rsidRPr="001367B5">
          <w:rPr>
            <w:rFonts w:ascii="Arial" w:eastAsia="Arial" w:hAnsi="Arial" w:cs="Arial"/>
            <w:color w:val="002060"/>
            <w:sz w:val="16"/>
            <w:szCs w:val="16"/>
            <w:u w:val="single"/>
          </w:rPr>
          <w:t>http://minagri.gob.pe/portal/download/pdf/p-agraria/politica-nacional-agraria.pdf</w:t>
        </w:r>
      </w:hyperlink>
    </w:p>
  </w:footnote>
  <w:footnote w:id="46">
    <w:p w14:paraId="78A801A4" w14:textId="77777777" w:rsidR="00842BE6" w:rsidRPr="001367B5" w:rsidRDefault="00842BE6">
      <w:pPr>
        <w:pBdr>
          <w:top w:val="nil"/>
          <w:left w:val="nil"/>
          <w:bottom w:val="nil"/>
          <w:right w:val="nil"/>
          <w:between w:val="nil"/>
        </w:pBdr>
        <w:rPr>
          <w:rFonts w:ascii="Arial" w:eastAsia="Arial" w:hAnsi="Arial" w:cs="Arial"/>
          <w:color w:val="002060"/>
          <w:sz w:val="16"/>
          <w:szCs w:val="16"/>
          <w:vertAlign w:val="superscript"/>
        </w:rPr>
      </w:pPr>
      <w:r w:rsidRPr="001367B5">
        <w:rPr>
          <w:rFonts w:ascii="Arial" w:hAnsi="Arial" w:cs="Arial"/>
          <w:sz w:val="16"/>
          <w:szCs w:val="16"/>
          <w:vertAlign w:val="superscript"/>
        </w:rPr>
        <w:footnoteRef/>
      </w:r>
      <w:r w:rsidRPr="001367B5">
        <w:rPr>
          <w:rFonts w:ascii="Arial" w:eastAsia="Arial" w:hAnsi="Arial" w:cs="Arial"/>
          <w:color w:val="002060"/>
          <w:sz w:val="16"/>
          <w:szCs w:val="16"/>
          <w:vertAlign w:val="superscript"/>
        </w:rPr>
        <w:t xml:space="preserve"> </w:t>
      </w:r>
      <w:r w:rsidRPr="001367B5">
        <w:rPr>
          <w:rFonts w:ascii="Arial" w:eastAsia="Arial" w:hAnsi="Arial" w:cs="Arial"/>
          <w:color w:val="002060"/>
          <w:sz w:val="16"/>
          <w:szCs w:val="16"/>
        </w:rPr>
        <w:t>Acuerdo de Gobernabilidad Regional</w:t>
      </w:r>
      <w:r w:rsidRPr="001367B5">
        <w:rPr>
          <w:rFonts w:ascii="Arial" w:eastAsia="Arial" w:hAnsi="Arial" w:cs="Arial"/>
          <w:color w:val="002060"/>
          <w:sz w:val="16"/>
          <w:szCs w:val="16"/>
          <w:vertAlign w:val="superscript"/>
        </w:rPr>
        <w:t xml:space="preserve"> </w:t>
      </w:r>
      <w:r w:rsidRPr="001367B5">
        <w:rPr>
          <w:rFonts w:ascii="Arial" w:eastAsia="Arial" w:hAnsi="Arial" w:cs="Arial"/>
          <w:color w:val="002060"/>
          <w:sz w:val="16"/>
          <w:szCs w:val="16"/>
        </w:rPr>
        <w:t>de Huánuco (Mesa de Concertación para la Lucha contra la Pobreza)</w:t>
      </w:r>
    </w:p>
  </w:footnote>
  <w:footnote w:id="47">
    <w:p w14:paraId="6053E7B6" w14:textId="77777777" w:rsidR="00842BE6" w:rsidRPr="001367B5" w:rsidRDefault="00842BE6">
      <w:pPr>
        <w:pBdr>
          <w:top w:val="nil"/>
          <w:left w:val="nil"/>
          <w:bottom w:val="nil"/>
          <w:right w:val="nil"/>
          <w:between w:val="nil"/>
        </w:pBdr>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Plan Estratégico Institucional 2019 – 2022 del Gobierno Regional Huánuco </w:t>
      </w:r>
    </w:p>
  </w:footnote>
  <w:footnote w:id="48">
    <w:p w14:paraId="0DED2A21" w14:textId="77777777" w:rsidR="00842BE6" w:rsidRDefault="00842BE6">
      <w:pPr>
        <w:pBdr>
          <w:top w:val="nil"/>
          <w:left w:val="nil"/>
          <w:bottom w:val="nil"/>
          <w:right w:val="nil"/>
          <w:between w:val="nil"/>
        </w:pBdr>
        <w:jc w:val="both"/>
        <w:rPr>
          <w:rFonts w:ascii="Arial" w:eastAsia="Arial" w:hAnsi="Arial" w:cs="Arial"/>
          <w:color w:val="002060"/>
          <w:sz w:val="18"/>
          <w:szCs w:val="18"/>
        </w:rPr>
      </w:pPr>
      <w:r>
        <w:rPr>
          <w:vertAlign w:val="superscript"/>
        </w:rPr>
        <w:footnoteRef/>
      </w:r>
      <w:r>
        <w:rPr>
          <w:rFonts w:ascii="Arial" w:eastAsia="Arial" w:hAnsi="Arial" w:cs="Arial"/>
          <w:color w:val="002060"/>
          <w:sz w:val="16"/>
          <w:szCs w:val="16"/>
        </w:rPr>
        <w:t>motivos de discriminación prohibidos incluyen la raza, etnia, género, edad, idioma, discapacidad, orientación sexual, religión, opinión política o de otra índole, origen nacional o social o geográfica, económica, nacimiento o cualquier otra condición que incluye como indígena o como miembro de Una minoría. Las referencias a “mujeres y hombres” o similares se entiende que incluye hombres y mujeres, niños y niñas y otros grupos discriminados sobre la base de su identidad de género, como las personas transgénero y transexuales.</w:t>
      </w:r>
    </w:p>
  </w:footnote>
  <w:footnote w:id="49">
    <w:p w14:paraId="5E75F4E0" w14:textId="77777777" w:rsidR="00842BE6" w:rsidRPr="001367B5" w:rsidRDefault="00842BE6">
      <w:pPr>
        <w:spacing w:before="60" w:after="60"/>
        <w:jc w:val="both"/>
        <w:rPr>
          <w:rFonts w:ascii="Arial" w:eastAsia="Arial" w:hAnsi="Arial" w:cs="Arial"/>
          <w:color w:val="002060"/>
          <w:sz w:val="16"/>
          <w:szCs w:val="16"/>
        </w:rPr>
      </w:pPr>
      <w:r w:rsidRPr="001367B5">
        <w:rPr>
          <w:rFonts w:ascii="Arial" w:hAnsi="Arial" w:cs="Arial"/>
          <w:color w:val="002060"/>
          <w:sz w:val="16"/>
          <w:szCs w:val="16"/>
          <w:vertAlign w:val="superscript"/>
        </w:rPr>
        <w:footnoteRef/>
      </w:r>
      <w:r w:rsidRPr="001367B5">
        <w:rPr>
          <w:rFonts w:ascii="Arial" w:eastAsia="Arial" w:hAnsi="Arial" w:cs="Arial"/>
          <w:color w:val="002060"/>
          <w:sz w:val="16"/>
          <w:szCs w:val="16"/>
        </w:rPr>
        <w:t>En lo que respecta al CO2, corresponde '' significativa de las emisiones en general a más de 25.000 toneladas por año (a partir de fuentes directas e indirectas). [La nota de orientación sobre mitigación del cambio climático y adaptación proporciona información adicional sobre las emisiones de gases de efecto invernadero.]</w:t>
      </w:r>
    </w:p>
  </w:footnote>
  <w:footnote w:id="50">
    <w:p w14:paraId="6E401AC0" w14:textId="77777777" w:rsidR="00842BE6" w:rsidRPr="001367B5" w:rsidRDefault="00842BE6">
      <w:pPr>
        <w:pBdr>
          <w:top w:val="nil"/>
          <w:left w:val="nil"/>
          <w:bottom w:val="nil"/>
          <w:right w:val="nil"/>
          <w:between w:val="nil"/>
        </w:pBdr>
        <w:jc w:val="both"/>
        <w:rPr>
          <w:rFonts w:ascii="Arial" w:eastAsia="Arial" w:hAnsi="Arial" w:cs="Arial"/>
          <w:color w:val="002060"/>
          <w:sz w:val="16"/>
          <w:szCs w:val="16"/>
        </w:rPr>
      </w:pPr>
      <w:r w:rsidRPr="001367B5">
        <w:rPr>
          <w:rFonts w:ascii="Arial" w:hAnsi="Arial" w:cs="Arial"/>
          <w:sz w:val="16"/>
          <w:szCs w:val="16"/>
          <w:vertAlign w:val="superscript"/>
        </w:rPr>
        <w:footnoteRef/>
      </w:r>
      <w:r w:rsidRPr="001367B5">
        <w:rPr>
          <w:rFonts w:ascii="Arial" w:eastAsia="Arial" w:hAnsi="Arial" w:cs="Arial"/>
          <w:color w:val="002060"/>
          <w:sz w:val="16"/>
          <w:szCs w:val="16"/>
        </w:rPr>
        <w:t xml:space="preserve"> Los desalojos forzosos incluyen actos y / u omisiones que implican el desplazamiento forzado o involuntaria de personas, grupos o comunidades de los hogares y / o las tierras y los recursos de propiedad común que fueron ocupados o dependían, eliminando de este modo la capacidad de un individuo, grupo o comunidad residir o trabajar en una determinada vivienda, residencia o lugar sin la provisión de, y acceso a medios apropiados de protección legal o de otro tipo.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05C6"/>
    <w:multiLevelType w:val="hybridMultilevel"/>
    <w:tmpl w:val="3F7A922E"/>
    <w:lvl w:ilvl="0" w:tplc="56FEC2BC">
      <w:start w:val="1"/>
      <w:numFmt w:val="decimal"/>
      <w:lvlText w:val="%1."/>
      <w:lvlJc w:val="left"/>
      <w:pPr>
        <w:ind w:left="360" w:hanging="360"/>
      </w:pPr>
    </w:lvl>
    <w:lvl w:ilvl="1" w:tplc="1C08B498">
      <w:start w:val="1"/>
      <w:numFmt w:val="lowerLetter"/>
      <w:lvlText w:val="%2."/>
      <w:lvlJc w:val="left"/>
      <w:pPr>
        <w:ind w:left="1080" w:hanging="360"/>
      </w:pPr>
    </w:lvl>
    <w:lvl w:ilvl="2" w:tplc="A7EEC14A">
      <w:start w:val="1"/>
      <w:numFmt w:val="lowerRoman"/>
      <w:lvlText w:val="%3."/>
      <w:lvlJc w:val="right"/>
      <w:pPr>
        <w:ind w:left="1800" w:hanging="180"/>
      </w:pPr>
    </w:lvl>
    <w:lvl w:ilvl="3" w:tplc="ABD806EC">
      <w:start w:val="1"/>
      <w:numFmt w:val="decimal"/>
      <w:lvlText w:val="%4."/>
      <w:lvlJc w:val="left"/>
      <w:pPr>
        <w:ind w:left="2520" w:hanging="360"/>
      </w:pPr>
    </w:lvl>
    <w:lvl w:ilvl="4" w:tplc="DC78A388">
      <w:start w:val="1"/>
      <w:numFmt w:val="lowerLetter"/>
      <w:lvlText w:val="%5."/>
      <w:lvlJc w:val="left"/>
      <w:pPr>
        <w:ind w:left="3240" w:hanging="360"/>
      </w:pPr>
    </w:lvl>
    <w:lvl w:ilvl="5" w:tplc="29587E68">
      <w:start w:val="1"/>
      <w:numFmt w:val="lowerRoman"/>
      <w:lvlText w:val="%6."/>
      <w:lvlJc w:val="right"/>
      <w:pPr>
        <w:ind w:left="3960" w:hanging="180"/>
      </w:pPr>
    </w:lvl>
    <w:lvl w:ilvl="6" w:tplc="F66899FA">
      <w:start w:val="1"/>
      <w:numFmt w:val="decimal"/>
      <w:lvlText w:val="%7."/>
      <w:lvlJc w:val="left"/>
      <w:pPr>
        <w:ind w:left="4680" w:hanging="360"/>
      </w:pPr>
    </w:lvl>
    <w:lvl w:ilvl="7" w:tplc="B1E2A55A">
      <w:start w:val="1"/>
      <w:numFmt w:val="lowerLetter"/>
      <w:lvlText w:val="%8."/>
      <w:lvlJc w:val="left"/>
      <w:pPr>
        <w:ind w:left="5400" w:hanging="360"/>
      </w:pPr>
    </w:lvl>
    <w:lvl w:ilvl="8" w:tplc="0AAA7D54">
      <w:start w:val="1"/>
      <w:numFmt w:val="lowerRoman"/>
      <w:lvlText w:val="%9."/>
      <w:lvlJc w:val="right"/>
      <w:pPr>
        <w:ind w:left="6120" w:hanging="180"/>
      </w:pPr>
    </w:lvl>
  </w:abstractNum>
  <w:abstractNum w:abstractNumId="1" w15:restartNumberingAfterBreak="0">
    <w:nsid w:val="07130240"/>
    <w:multiLevelType w:val="hybridMultilevel"/>
    <w:tmpl w:val="10A038CE"/>
    <w:lvl w:ilvl="0" w:tplc="919464E4">
      <w:start w:val="1"/>
      <w:numFmt w:val="bullet"/>
      <w:lvlText w:val="-"/>
      <w:lvlJc w:val="left"/>
      <w:pPr>
        <w:ind w:left="2448" w:hanging="360"/>
      </w:pPr>
      <w:rPr>
        <w:rFonts w:ascii="Calibri" w:eastAsia="Calibri" w:hAnsi="Calibri" w:cs="Calibri"/>
      </w:rPr>
    </w:lvl>
    <w:lvl w:ilvl="1" w:tplc="070A5D62">
      <w:start w:val="1"/>
      <w:numFmt w:val="bullet"/>
      <w:lvlText w:val="o"/>
      <w:lvlJc w:val="left"/>
      <w:pPr>
        <w:ind w:left="3168" w:hanging="360"/>
      </w:pPr>
      <w:rPr>
        <w:rFonts w:ascii="Courier New" w:eastAsia="Courier New" w:hAnsi="Courier New" w:cs="Courier New"/>
      </w:rPr>
    </w:lvl>
    <w:lvl w:ilvl="2" w:tplc="F2680B6C">
      <w:start w:val="1"/>
      <w:numFmt w:val="bullet"/>
      <w:lvlText w:val="▪"/>
      <w:lvlJc w:val="left"/>
      <w:pPr>
        <w:ind w:left="3888" w:hanging="360"/>
      </w:pPr>
      <w:rPr>
        <w:rFonts w:ascii="Noto Sans Symbols" w:eastAsia="Noto Sans Symbols" w:hAnsi="Noto Sans Symbols" w:cs="Noto Sans Symbols"/>
      </w:rPr>
    </w:lvl>
    <w:lvl w:ilvl="3" w:tplc="6B1A23D6">
      <w:start w:val="1"/>
      <w:numFmt w:val="bullet"/>
      <w:lvlText w:val="●"/>
      <w:lvlJc w:val="left"/>
      <w:pPr>
        <w:ind w:left="4608" w:hanging="360"/>
      </w:pPr>
      <w:rPr>
        <w:rFonts w:ascii="Noto Sans Symbols" w:eastAsia="Noto Sans Symbols" w:hAnsi="Noto Sans Symbols" w:cs="Noto Sans Symbols"/>
      </w:rPr>
    </w:lvl>
    <w:lvl w:ilvl="4" w:tplc="230E55D0">
      <w:start w:val="1"/>
      <w:numFmt w:val="bullet"/>
      <w:lvlText w:val="o"/>
      <w:lvlJc w:val="left"/>
      <w:pPr>
        <w:ind w:left="5328" w:hanging="360"/>
      </w:pPr>
      <w:rPr>
        <w:rFonts w:ascii="Courier New" w:eastAsia="Courier New" w:hAnsi="Courier New" w:cs="Courier New"/>
      </w:rPr>
    </w:lvl>
    <w:lvl w:ilvl="5" w:tplc="95C4180C">
      <w:start w:val="1"/>
      <w:numFmt w:val="bullet"/>
      <w:lvlText w:val="▪"/>
      <w:lvlJc w:val="left"/>
      <w:pPr>
        <w:ind w:left="6048" w:hanging="360"/>
      </w:pPr>
      <w:rPr>
        <w:rFonts w:ascii="Noto Sans Symbols" w:eastAsia="Noto Sans Symbols" w:hAnsi="Noto Sans Symbols" w:cs="Noto Sans Symbols"/>
      </w:rPr>
    </w:lvl>
    <w:lvl w:ilvl="6" w:tplc="0752377E">
      <w:start w:val="1"/>
      <w:numFmt w:val="bullet"/>
      <w:lvlText w:val="●"/>
      <w:lvlJc w:val="left"/>
      <w:pPr>
        <w:ind w:left="6768" w:hanging="360"/>
      </w:pPr>
      <w:rPr>
        <w:rFonts w:ascii="Noto Sans Symbols" w:eastAsia="Noto Sans Symbols" w:hAnsi="Noto Sans Symbols" w:cs="Noto Sans Symbols"/>
      </w:rPr>
    </w:lvl>
    <w:lvl w:ilvl="7" w:tplc="60F03586">
      <w:start w:val="1"/>
      <w:numFmt w:val="bullet"/>
      <w:lvlText w:val="o"/>
      <w:lvlJc w:val="left"/>
      <w:pPr>
        <w:ind w:left="7488" w:hanging="360"/>
      </w:pPr>
      <w:rPr>
        <w:rFonts w:ascii="Courier New" w:eastAsia="Courier New" w:hAnsi="Courier New" w:cs="Courier New"/>
      </w:rPr>
    </w:lvl>
    <w:lvl w:ilvl="8" w:tplc="DD4AE4DE">
      <w:start w:val="1"/>
      <w:numFmt w:val="bullet"/>
      <w:lvlText w:val="▪"/>
      <w:lvlJc w:val="left"/>
      <w:pPr>
        <w:ind w:left="8208" w:hanging="360"/>
      </w:pPr>
      <w:rPr>
        <w:rFonts w:ascii="Noto Sans Symbols" w:eastAsia="Noto Sans Symbols" w:hAnsi="Noto Sans Symbols" w:cs="Noto Sans Symbols"/>
      </w:rPr>
    </w:lvl>
  </w:abstractNum>
  <w:abstractNum w:abstractNumId="2" w15:restartNumberingAfterBreak="0">
    <w:nsid w:val="07BB53E1"/>
    <w:multiLevelType w:val="hybridMultilevel"/>
    <w:tmpl w:val="336C3FAE"/>
    <w:lvl w:ilvl="0" w:tplc="920C44FE">
      <w:start w:val="1"/>
      <w:numFmt w:val="bullet"/>
      <w:lvlText w:val="-"/>
      <w:lvlJc w:val="left"/>
      <w:pPr>
        <w:ind w:left="360" w:hanging="360"/>
      </w:pPr>
      <w:rPr>
        <w:rFonts w:ascii="Arial" w:eastAsia="Arial" w:hAnsi="Arial" w:cs="Arial"/>
      </w:rPr>
    </w:lvl>
    <w:lvl w:ilvl="1" w:tplc="3886BDFA">
      <w:start w:val="1"/>
      <w:numFmt w:val="bullet"/>
      <w:lvlText w:val="o"/>
      <w:lvlJc w:val="left"/>
      <w:pPr>
        <w:ind w:left="1080" w:hanging="360"/>
      </w:pPr>
      <w:rPr>
        <w:rFonts w:ascii="Courier New" w:eastAsia="Courier New" w:hAnsi="Courier New" w:cs="Courier New"/>
      </w:rPr>
    </w:lvl>
    <w:lvl w:ilvl="2" w:tplc="A67C77F4">
      <w:start w:val="1"/>
      <w:numFmt w:val="bullet"/>
      <w:lvlText w:val="▪"/>
      <w:lvlJc w:val="left"/>
      <w:pPr>
        <w:ind w:left="1800" w:hanging="360"/>
      </w:pPr>
      <w:rPr>
        <w:rFonts w:ascii="Noto Sans Symbols" w:eastAsia="Noto Sans Symbols" w:hAnsi="Noto Sans Symbols" w:cs="Noto Sans Symbols"/>
      </w:rPr>
    </w:lvl>
    <w:lvl w:ilvl="3" w:tplc="3C8AE6DA">
      <w:start w:val="1"/>
      <w:numFmt w:val="bullet"/>
      <w:lvlText w:val="●"/>
      <w:lvlJc w:val="left"/>
      <w:pPr>
        <w:ind w:left="2520" w:hanging="360"/>
      </w:pPr>
      <w:rPr>
        <w:rFonts w:ascii="Noto Sans Symbols" w:eastAsia="Noto Sans Symbols" w:hAnsi="Noto Sans Symbols" w:cs="Noto Sans Symbols"/>
      </w:rPr>
    </w:lvl>
    <w:lvl w:ilvl="4" w:tplc="BF56EFB8">
      <w:start w:val="1"/>
      <w:numFmt w:val="bullet"/>
      <w:lvlText w:val="o"/>
      <w:lvlJc w:val="left"/>
      <w:pPr>
        <w:ind w:left="3240" w:hanging="360"/>
      </w:pPr>
      <w:rPr>
        <w:rFonts w:ascii="Courier New" w:eastAsia="Courier New" w:hAnsi="Courier New" w:cs="Courier New"/>
      </w:rPr>
    </w:lvl>
    <w:lvl w:ilvl="5" w:tplc="0ADA9F9C">
      <w:start w:val="1"/>
      <w:numFmt w:val="bullet"/>
      <w:lvlText w:val="▪"/>
      <w:lvlJc w:val="left"/>
      <w:pPr>
        <w:ind w:left="3960" w:hanging="360"/>
      </w:pPr>
      <w:rPr>
        <w:rFonts w:ascii="Noto Sans Symbols" w:eastAsia="Noto Sans Symbols" w:hAnsi="Noto Sans Symbols" w:cs="Noto Sans Symbols"/>
      </w:rPr>
    </w:lvl>
    <w:lvl w:ilvl="6" w:tplc="AFCCB504">
      <w:start w:val="1"/>
      <w:numFmt w:val="bullet"/>
      <w:lvlText w:val="●"/>
      <w:lvlJc w:val="left"/>
      <w:pPr>
        <w:ind w:left="4680" w:hanging="360"/>
      </w:pPr>
      <w:rPr>
        <w:rFonts w:ascii="Noto Sans Symbols" w:eastAsia="Noto Sans Symbols" w:hAnsi="Noto Sans Symbols" w:cs="Noto Sans Symbols"/>
      </w:rPr>
    </w:lvl>
    <w:lvl w:ilvl="7" w:tplc="CCA2F4A2">
      <w:start w:val="1"/>
      <w:numFmt w:val="bullet"/>
      <w:lvlText w:val="o"/>
      <w:lvlJc w:val="left"/>
      <w:pPr>
        <w:ind w:left="5400" w:hanging="360"/>
      </w:pPr>
      <w:rPr>
        <w:rFonts w:ascii="Courier New" w:eastAsia="Courier New" w:hAnsi="Courier New" w:cs="Courier New"/>
      </w:rPr>
    </w:lvl>
    <w:lvl w:ilvl="8" w:tplc="95AA3EBC">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95E061A"/>
    <w:multiLevelType w:val="hybridMultilevel"/>
    <w:tmpl w:val="AAD06D54"/>
    <w:lvl w:ilvl="0" w:tplc="B76C18EE">
      <w:start w:val="1"/>
      <w:numFmt w:val="decimal"/>
      <w:lvlText w:val="%1."/>
      <w:lvlJc w:val="left"/>
      <w:pPr>
        <w:ind w:left="360" w:hanging="360"/>
      </w:pPr>
    </w:lvl>
    <w:lvl w:ilvl="1" w:tplc="E0E2C0FA">
      <w:start w:val="1"/>
      <w:numFmt w:val="lowerLetter"/>
      <w:lvlText w:val="%2."/>
      <w:lvlJc w:val="left"/>
      <w:pPr>
        <w:ind w:left="1080" w:hanging="360"/>
      </w:pPr>
    </w:lvl>
    <w:lvl w:ilvl="2" w:tplc="E7705354">
      <w:start w:val="1"/>
      <w:numFmt w:val="lowerRoman"/>
      <w:lvlText w:val="%3."/>
      <w:lvlJc w:val="right"/>
      <w:pPr>
        <w:ind w:left="1800" w:hanging="180"/>
      </w:pPr>
    </w:lvl>
    <w:lvl w:ilvl="3" w:tplc="4E2675FE">
      <w:start w:val="1"/>
      <w:numFmt w:val="decimal"/>
      <w:lvlText w:val="%4."/>
      <w:lvlJc w:val="left"/>
      <w:pPr>
        <w:ind w:left="2520" w:hanging="360"/>
      </w:pPr>
    </w:lvl>
    <w:lvl w:ilvl="4" w:tplc="156C57C8">
      <w:start w:val="1"/>
      <w:numFmt w:val="lowerLetter"/>
      <w:lvlText w:val="%5."/>
      <w:lvlJc w:val="left"/>
      <w:pPr>
        <w:ind w:left="3240" w:hanging="360"/>
      </w:pPr>
    </w:lvl>
    <w:lvl w:ilvl="5" w:tplc="305CA394">
      <w:start w:val="1"/>
      <w:numFmt w:val="lowerRoman"/>
      <w:lvlText w:val="%6."/>
      <w:lvlJc w:val="right"/>
      <w:pPr>
        <w:ind w:left="3960" w:hanging="180"/>
      </w:pPr>
    </w:lvl>
    <w:lvl w:ilvl="6" w:tplc="E362C068">
      <w:start w:val="1"/>
      <w:numFmt w:val="decimal"/>
      <w:lvlText w:val="%7."/>
      <w:lvlJc w:val="left"/>
      <w:pPr>
        <w:ind w:left="4680" w:hanging="360"/>
      </w:pPr>
    </w:lvl>
    <w:lvl w:ilvl="7" w:tplc="F9B073CA">
      <w:start w:val="1"/>
      <w:numFmt w:val="lowerLetter"/>
      <w:lvlText w:val="%8."/>
      <w:lvlJc w:val="left"/>
      <w:pPr>
        <w:ind w:left="5400" w:hanging="360"/>
      </w:pPr>
    </w:lvl>
    <w:lvl w:ilvl="8" w:tplc="86EEDF60">
      <w:start w:val="1"/>
      <w:numFmt w:val="lowerRoman"/>
      <w:lvlText w:val="%9."/>
      <w:lvlJc w:val="right"/>
      <w:pPr>
        <w:ind w:left="6120" w:hanging="180"/>
      </w:pPr>
    </w:lvl>
  </w:abstractNum>
  <w:abstractNum w:abstractNumId="4" w15:restartNumberingAfterBreak="0">
    <w:nsid w:val="158D7804"/>
    <w:multiLevelType w:val="hybridMultilevel"/>
    <w:tmpl w:val="E8161A42"/>
    <w:lvl w:ilvl="0" w:tplc="C8501A16">
      <w:start w:val="1"/>
      <w:numFmt w:val="decimal"/>
      <w:lvlText w:val="%1."/>
      <w:lvlJc w:val="left"/>
      <w:pPr>
        <w:ind w:left="720" w:hanging="360"/>
      </w:pPr>
    </w:lvl>
    <w:lvl w:ilvl="1" w:tplc="09148200">
      <w:start w:val="1"/>
      <w:numFmt w:val="bullet"/>
      <w:lvlText w:val="o"/>
      <w:lvlJc w:val="left"/>
      <w:pPr>
        <w:ind w:left="1440" w:hanging="360"/>
      </w:pPr>
      <w:rPr>
        <w:rFonts w:ascii="Courier New" w:eastAsia="Courier New" w:hAnsi="Courier New" w:cs="Courier New"/>
      </w:rPr>
    </w:lvl>
    <w:lvl w:ilvl="2" w:tplc="A352068A">
      <w:start w:val="1"/>
      <w:numFmt w:val="bullet"/>
      <w:lvlText w:val="▪"/>
      <w:lvlJc w:val="left"/>
      <w:pPr>
        <w:ind w:left="2160" w:hanging="360"/>
      </w:pPr>
      <w:rPr>
        <w:rFonts w:ascii="Noto Sans Symbols" w:eastAsia="Noto Sans Symbols" w:hAnsi="Noto Sans Symbols" w:cs="Noto Sans Symbols"/>
      </w:rPr>
    </w:lvl>
    <w:lvl w:ilvl="3" w:tplc="2142340C">
      <w:start w:val="1"/>
      <w:numFmt w:val="bullet"/>
      <w:lvlText w:val="●"/>
      <w:lvlJc w:val="left"/>
      <w:pPr>
        <w:ind w:left="2880" w:hanging="360"/>
      </w:pPr>
      <w:rPr>
        <w:rFonts w:ascii="Noto Sans Symbols" w:eastAsia="Noto Sans Symbols" w:hAnsi="Noto Sans Symbols" w:cs="Noto Sans Symbols"/>
      </w:rPr>
    </w:lvl>
    <w:lvl w:ilvl="4" w:tplc="1630B348">
      <w:start w:val="1"/>
      <w:numFmt w:val="bullet"/>
      <w:lvlText w:val="o"/>
      <w:lvlJc w:val="left"/>
      <w:pPr>
        <w:ind w:left="3600" w:hanging="360"/>
      </w:pPr>
      <w:rPr>
        <w:rFonts w:ascii="Courier New" w:eastAsia="Courier New" w:hAnsi="Courier New" w:cs="Courier New"/>
      </w:rPr>
    </w:lvl>
    <w:lvl w:ilvl="5" w:tplc="4B0A3E46">
      <w:start w:val="1"/>
      <w:numFmt w:val="bullet"/>
      <w:lvlText w:val="▪"/>
      <w:lvlJc w:val="left"/>
      <w:pPr>
        <w:ind w:left="4320" w:hanging="360"/>
      </w:pPr>
      <w:rPr>
        <w:rFonts w:ascii="Noto Sans Symbols" w:eastAsia="Noto Sans Symbols" w:hAnsi="Noto Sans Symbols" w:cs="Noto Sans Symbols"/>
      </w:rPr>
    </w:lvl>
    <w:lvl w:ilvl="6" w:tplc="8DC661E6">
      <w:start w:val="1"/>
      <w:numFmt w:val="bullet"/>
      <w:lvlText w:val="●"/>
      <w:lvlJc w:val="left"/>
      <w:pPr>
        <w:ind w:left="5040" w:hanging="360"/>
      </w:pPr>
      <w:rPr>
        <w:rFonts w:ascii="Noto Sans Symbols" w:eastAsia="Noto Sans Symbols" w:hAnsi="Noto Sans Symbols" w:cs="Noto Sans Symbols"/>
      </w:rPr>
    </w:lvl>
    <w:lvl w:ilvl="7" w:tplc="497C87DA">
      <w:start w:val="1"/>
      <w:numFmt w:val="bullet"/>
      <w:lvlText w:val="o"/>
      <w:lvlJc w:val="left"/>
      <w:pPr>
        <w:ind w:left="5760" w:hanging="360"/>
      </w:pPr>
      <w:rPr>
        <w:rFonts w:ascii="Courier New" w:eastAsia="Courier New" w:hAnsi="Courier New" w:cs="Courier New"/>
      </w:rPr>
    </w:lvl>
    <w:lvl w:ilvl="8" w:tplc="1A9AF3A0">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4F7568"/>
    <w:multiLevelType w:val="hybridMultilevel"/>
    <w:tmpl w:val="D06438D0"/>
    <w:lvl w:ilvl="0" w:tplc="CE9E36E2">
      <w:start w:val="3"/>
      <w:numFmt w:val="bullet"/>
      <w:lvlText w:val="-"/>
      <w:lvlJc w:val="left"/>
      <w:pPr>
        <w:ind w:left="360" w:hanging="360"/>
      </w:pPr>
      <w:rPr>
        <w:rFonts w:ascii="Calibri" w:eastAsia="Calibri" w:hAnsi="Calibri" w:cs="Calibri"/>
        <w:b/>
        <w:sz w:val="24"/>
        <w:szCs w:val="24"/>
      </w:rPr>
    </w:lvl>
    <w:lvl w:ilvl="1" w:tplc="EF68EA9C">
      <w:start w:val="1"/>
      <w:numFmt w:val="lowerLetter"/>
      <w:lvlText w:val="%2."/>
      <w:lvlJc w:val="left"/>
      <w:pPr>
        <w:ind w:left="1080" w:hanging="360"/>
      </w:pPr>
    </w:lvl>
    <w:lvl w:ilvl="2" w:tplc="FF561AF6">
      <w:start w:val="1"/>
      <w:numFmt w:val="lowerRoman"/>
      <w:lvlText w:val="%3."/>
      <w:lvlJc w:val="right"/>
      <w:pPr>
        <w:ind w:left="1800" w:hanging="180"/>
      </w:pPr>
    </w:lvl>
    <w:lvl w:ilvl="3" w:tplc="8E887102">
      <w:start w:val="1"/>
      <w:numFmt w:val="decimal"/>
      <w:lvlText w:val="%4."/>
      <w:lvlJc w:val="left"/>
      <w:pPr>
        <w:ind w:left="2520" w:hanging="360"/>
      </w:pPr>
    </w:lvl>
    <w:lvl w:ilvl="4" w:tplc="FE467866">
      <w:start w:val="1"/>
      <w:numFmt w:val="lowerLetter"/>
      <w:lvlText w:val="%5."/>
      <w:lvlJc w:val="left"/>
      <w:pPr>
        <w:ind w:left="3240" w:hanging="360"/>
      </w:pPr>
    </w:lvl>
    <w:lvl w:ilvl="5" w:tplc="463021A2">
      <w:start w:val="1"/>
      <w:numFmt w:val="lowerRoman"/>
      <w:lvlText w:val="%6."/>
      <w:lvlJc w:val="right"/>
      <w:pPr>
        <w:ind w:left="3960" w:hanging="180"/>
      </w:pPr>
    </w:lvl>
    <w:lvl w:ilvl="6" w:tplc="995861A8">
      <w:start w:val="1"/>
      <w:numFmt w:val="decimal"/>
      <w:lvlText w:val="%7."/>
      <w:lvlJc w:val="left"/>
      <w:pPr>
        <w:ind w:left="4680" w:hanging="360"/>
      </w:pPr>
    </w:lvl>
    <w:lvl w:ilvl="7" w:tplc="ED4C0F58">
      <w:start w:val="1"/>
      <w:numFmt w:val="lowerLetter"/>
      <w:lvlText w:val="%8."/>
      <w:lvlJc w:val="left"/>
      <w:pPr>
        <w:ind w:left="5400" w:hanging="360"/>
      </w:pPr>
    </w:lvl>
    <w:lvl w:ilvl="8" w:tplc="F5B47ABC">
      <w:start w:val="1"/>
      <w:numFmt w:val="lowerRoman"/>
      <w:lvlText w:val="%9."/>
      <w:lvlJc w:val="right"/>
      <w:pPr>
        <w:ind w:left="6120" w:hanging="180"/>
      </w:pPr>
    </w:lvl>
  </w:abstractNum>
  <w:abstractNum w:abstractNumId="6" w15:restartNumberingAfterBreak="0">
    <w:nsid w:val="1F430634"/>
    <w:multiLevelType w:val="hybridMultilevel"/>
    <w:tmpl w:val="76728D30"/>
    <w:lvl w:ilvl="0" w:tplc="D16233CE">
      <w:start w:val="17"/>
      <w:numFmt w:val="bullet"/>
      <w:lvlText w:val="-"/>
      <w:lvlJc w:val="left"/>
      <w:pPr>
        <w:ind w:left="1455" w:hanging="360"/>
      </w:pPr>
      <w:rPr>
        <w:rFonts w:ascii="Calibri" w:eastAsia="Calibri" w:hAnsi="Calibri" w:cs="Calibri"/>
      </w:rPr>
    </w:lvl>
    <w:lvl w:ilvl="1" w:tplc="F2AE813C">
      <w:start w:val="1"/>
      <w:numFmt w:val="bullet"/>
      <w:lvlText w:val="o"/>
      <w:lvlJc w:val="left"/>
      <w:pPr>
        <w:ind w:left="2175" w:hanging="360"/>
      </w:pPr>
      <w:rPr>
        <w:rFonts w:ascii="Courier New" w:eastAsia="Courier New" w:hAnsi="Courier New" w:cs="Courier New"/>
      </w:rPr>
    </w:lvl>
    <w:lvl w:ilvl="2" w:tplc="37F08118">
      <w:start w:val="1"/>
      <w:numFmt w:val="bullet"/>
      <w:lvlText w:val="▪"/>
      <w:lvlJc w:val="left"/>
      <w:pPr>
        <w:ind w:left="2895" w:hanging="360"/>
      </w:pPr>
      <w:rPr>
        <w:rFonts w:ascii="Noto Sans Symbols" w:eastAsia="Noto Sans Symbols" w:hAnsi="Noto Sans Symbols" w:cs="Noto Sans Symbols"/>
      </w:rPr>
    </w:lvl>
    <w:lvl w:ilvl="3" w:tplc="EA7408B8">
      <w:start w:val="1"/>
      <w:numFmt w:val="bullet"/>
      <w:lvlText w:val="●"/>
      <w:lvlJc w:val="left"/>
      <w:pPr>
        <w:ind w:left="3615" w:hanging="360"/>
      </w:pPr>
      <w:rPr>
        <w:rFonts w:ascii="Noto Sans Symbols" w:eastAsia="Noto Sans Symbols" w:hAnsi="Noto Sans Symbols" w:cs="Noto Sans Symbols"/>
      </w:rPr>
    </w:lvl>
    <w:lvl w:ilvl="4" w:tplc="DCE868BA">
      <w:start w:val="1"/>
      <w:numFmt w:val="bullet"/>
      <w:lvlText w:val="o"/>
      <w:lvlJc w:val="left"/>
      <w:pPr>
        <w:ind w:left="4335" w:hanging="360"/>
      </w:pPr>
      <w:rPr>
        <w:rFonts w:ascii="Courier New" w:eastAsia="Courier New" w:hAnsi="Courier New" w:cs="Courier New"/>
      </w:rPr>
    </w:lvl>
    <w:lvl w:ilvl="5" w:tplc="2AC64A3E">
      <w:start w:val="1"/>
      <w:numFmt w:val="bullet"/>
      <w:lvlText w:val="▪"/>
      <w:lvlJc w:val="left"/>
      <w:pPr>
        <w:ind w:left="5055" w:hanging="360"/>
      </w:pPr>
      <w:rPr>
        <w:rFonts w:ascii="Noto Sans Symbols" w:eastAsia="Noto Sans Symbols" w:hAnsi="Noto Sans Symbols" w:cs="Noto Sans Symbols"/>
      </w:rPr>
    </w:lvl>
    <w:lvl w:ilvl="6" w:tplc="A816C9EE">
      <w:start w:val="1"/>
      <w:numFmt w:val="bullet"/>
      <w:lvlText w:val="●"/>
      <w:lvlJc w:val="left"/>
      <w:pPr>
        <w:ind w:left="5775" w:hanging="360"/>
      </w:pPr>
      <w:rPr>
        <w:rFonts w:ascii="Noto Sans Symbols" w:eastAsia="Noto Sans Symbols" w:hAnsi="Noto Sans Symbols" w:cs="Noto Sans Symbols"/>
      </w:rPr>
    </w:lvl>
    <w:lvl w:ilvl="7" w:tplc="3A22AB72">
      <w:start w:val="1"/>
      <w:numFmt w:val="bullet"/>
      <w:lvlText w:val="o"/>
      <w:lvlJc w:val="left"/>
      <w:pPr>
        <w:ind w:left="6495" w:hanging="360"/>
      </w:pPr>
      <w:rPr>
        <w:rFonts w:ascii="Courier New" w:eastAsia="Courier New" w:hAnsi="Courier New" w:cs="Courier New"/>
      </w:rPr>
    </w:lvl>
    <w:lvl w:ilvl="8" w:tplc="DF9E4846">
      <w:start w:val="1"/>
      <w:numFmt w:val="bullet"/>
      <w:lvlText w:val="▪"/>
      <w:lvlJc w:val="left"/>
      <w:pPr>
        <w:ind w:left="7215" w:hanging="360"/>
      </w:pPr>
      <w:rPr>
        <w:rFonts w:ascii="Noto Sans Symbols" w:eastAsia="Noto Sans Symbols" w:hAnsi="Noto Sans Symbols" w:cs="Noto Sans Symbols"/>
      </w:rPr>
    </w:lvl>
  </w:abstractNum>
  <w:abstractNum w:abstractNumId="7" w15:restartNumberingAfterBreak="0">
    <w:nsid w:val="22A71140"/>
    <w:multiLevelType w:val="hybridMultilevel"/>
    <w:tmpl w:val="EA9880BC"/>
    <w:lvl w:ilvl="0" w:tplc="2EE2DFB0">
      <w:start w:val="1"/>
      <w:numFmt w:val="decimal"/>
      <w:lvlText w:val="%1."/>
      <w:lvlJc w:val="left"/>
      <w:pPr>
        <w:ind w:left="720" w:hanging="360"/>
      </w:pPr>
    </w:lvl>
    <w:lvl w:ilvl="1" w:tplc="167E5D1C">
      <w:start w:val="1"/>
      <w:numFmt w:val="lowerLetter"/>
      <w:lvlText w:val="%2."/>
      <w:lvlJc w:val="left"/>
      <w:pPr>
        <w:ind w:left="1440" w:hanging="360"/>
      </w:pPr>
    </w:lvl>
    <w:lvl w:ilvl="2" w:tplc="691CD890">
      <w:start w:val="1"/>
      <w:numFmt w:val="lowerRoman"/>
      <w:lvlText w:val="%3."/>
      <w:lvlJc w:val="right"/>
      <w:pPr>
        <w:ind w:left="2160" w:hanging="180"/>
      </w:pPr>
    </w:lvl>
    <w:lvl w:ilvl="3" w:tplc="973A24FC">
      <w:start w:val="1"/>
      <w:numFmt w:val="decimal"/>
      <w:lvlText w:val="%4."/>
      <w:lvlJc w:val="left"/>
      <w:pPr>
        <w:ind w:left="2880" w:hanging="360"/>
      </w:pPr>
    </w:lvl>
    <w:lvl w:ilvl="4" w:tplc="3C7A7DDE">
      <w:start w:val="1"/>
      <w:numFmt w:val="lowerLetter"/>
      <w:lvlText w:val="%5."/>
      <w:lvlJc w:val="left"/>
      <w:pPr>
        <w:ind w:left="3600" w:hanging="360"/>
      </w:pPr>
    </w:lvl>
    <w:lvl w:ilvl="5" w:tplc="2DC07CAA">
      <w:start w:val="1"/>
      <w:numFmt w:val="lowerRoman"/>
      <w:lvlText w:val="%6."/>
      <w:lvlJc w:val="right"/>
      <w:pPr>
        <w:ind w:left="4320" w:hanging="180"/>
      </w:pPr>
    </w:lvl>
    <w:lvl w:ilvl="6" w:tplc="05DC1434">
      <w:start w:val="1"/>
      <w:numFmt w:val="decimal"/>
      <w:lvlText w:val="%7."/>
      <w:lvlJc w:val="left"/>
      <w:pPr>
        <w:ind w:left="5040" w:hanging="360"/>
      </w:pPr>
    </w:lvl>
    <w:lvl w:ilvl="7" w:tplc="4F40C9E6">
      <w:start w:val="1"/>
      <w:numFmt w:val="lowerLetter"/>
      <w:lvlText w:val="%8."/>
      <w:lvlJc w:val="left"/>
      <w:pPr>
        <w:ind w:left="5760" w:hanging="360"/>
      </w:pPr>
    </w:lvl>
    <w:lvl w:ilvl="8" w:tplc="0E0C560A">
      <w:start w:val="1"/>
      <w:numFmt w:val="lowerRoman"/>
      <w:lvlText w:val="%9."/>
      <w:lvlJc w:val="right"/>
      <w:pPr>
        <w:ind w:left="6480" w:hanging="180"/>
      </w:pPr>
    </w:lvl>
  </w:abstractNum>
  <w:abstractNum w:abstractNumId="8" w15:restartNumberingAfterBreak="0">
    <w:nsid w:val="2BF2194C"/>
    <w:multiLevelType w:val="hybridMultilevel"/>
    <w:tmpl w:val="620A9310"/>
    <w:lvl w:ilvl="0" w:tplc="50F88B60">
      <w:start w:val="1"/>
      <w:numFmt w:val="decimal"/>
      <w:lvlText w:val="%1."/>
      <w:lvlJc w:val="left"/>
      <w:pPr>
        <w:ind w:left="720" w:hanging="360"/>
      </w:pPr>
    </w:lvl>
    <w:lvl w:ilvl="1" w:tplc="57D06178">
      <w:start w:val="1"/>
      <w:numFmt w:val="lowerLetter"/>
      <w:lvlText w:val="%2."/>
      <w:lvlJc w:val="left"/>
      <w:pPr>
        <w:ind w:left="1440" w:hanging="360"/>
      </w:pPr>
    </w:lvl>
    <w:lvl w:ilvl="2" w:tplc="CD9ED614">
      <w:start w:val="1"/>
      <w:numFmt w:val="lowerRoman"/>
      <w:lvlText w:val="%3."/>
      <w:lvlJc w:val="right"/>
      <w:pPr>
        <w:ind w:left="2160" w:hanging="180"/>
      </w:pPr>
    </w:lvl>
    <w:lvl w:ilvl="3" w:tplc="7C485694">
      <w:start w:val="1"/>
      <w:numFmt w:val="decimal"/>
      <w:lvlText w:val="%4."/>
      <w:lvlJc w:val="left"/>
      <w:pPr>
        <w:ind w:left="2880" w:hanging="360"/>
      </w:pPr>
    </w:lvl>
    <w:lvl w:ilvl="4" w:tplc="BE80E370">
      <w:start w:val="1"/>
      <w:numFmt w:val="lowerLetter"/>
      <w:lvlText w:val="%5."/>
      <w:lvlJc w:val="left"/>
      <w:pPr>
        <w:ind w:left="3600" w:hanging="360"/>
      </w:pPr>
    </w:lvl>
    <w:lvl w:ilvl="5" w:tplc="FBC8C78C">
      <w:start w:val="1"/>
      <w:numFmt w:val="lowerRoman"/>
      <w:lvlText w:val="%6."/>
      <w:lvlJc w:val="right"/>
      <w:pPr>
        <w:ind w:left="4320" w:hanging="180"/>
      </w:pPr>
    </w:lvl>
    <w:lvl w:ilvl="6" w:tplc="CD748A3E">
      <w:start w:val="1"/>
      <w:numFmt w:val="decimal"/>
      <w:lvlText w:val="%7."/>
      <w:lvlJc w:val="left"/>
      <w:pPr>
        <w:ind w:left="5040" w:hanging="360"/>
      </w:pPr>
    </w:lvl>
    <w:lvl w:ilvl="7" w:tplc="F1EC7FD8">
      <w:start w:val="1"/>
      <w:numFmt w:val="lowerLetter"/>
      <w:lvlText w:val="%8."/>
      <w:lvlJc w:val="left"/>
      <w:pPr>
        <w:ind w:left="5760" w:hanging="360"/>
      </w:pPr>
    </w:lvl>
    <w:lvl w:ilvl="8" w:tplc="20E8D6EC">
      <w:start w:val="1"/>
      <w:numFmt w:val="lowerRoman"/>
      <w:lvlText w:val="%9."/>
      <w:lvlJc w:val="right"/>
      <w:pPr>
        <w:ind w:left="6480" w:hanging="180"/>
      </w:pPr>
    </w:lvl>
  </w:abstractNum>
  <w:abstractNum w:abstractNumId="9" w15:restartNumberingAfterBreak="0">
    <w:nsid w:val="35D60DC7"/>
    <w:multiLevelType w:val="hybridMultilevel"/>
    <w:tmpl w:val="9A565B3C"/>
    <w:lvl w:ilvl="0" w:tplc="87CC3F5C">
      <w:start w:val="1"/>
      <w:numFmt w:val="bullet"/>
      <w:lvlText w:val="-"/>
      <w:lvlJc w:val="left"/>
      <w:pPr>
        <w:ind w:left="360" w:hanging="360"/>
      </w:pPr>
      <w:rPr>
        <w:rFonts w:ascii="Calibri" w:eastAsia="Calibri" w:hAnsi="Calibri" w:cs="Calibri"/>
      </w:rPr>
    </w:lvl>
    <w:lvl w:ilvl="1" w:tplc="39002B7E">
      <w:start w:val="1"/>
      <w:numFmt w:val="bullet"/>
      <w:lvlText w:val="o"/>
      <w:lvlJc w:val="left"/>
      <w:pPr>
        <w:ind w:left="1080" w:hanging="360"/>
      </w:pPr>
      <w:rPr>
        <w:rFonts w:ascii="Courier New" w:eastAsia="Courier New" w:hAnsi="Courier New" w:cs="Courier New"/>
      </w:rPr>
    </w:lvl>
    <w:lvl w:ilvl="2" w:tplc="D36C67CC">
      <w:start w:val="1"/>
      <w:numFmt w:val="bullet"/>
      <w:lvlText w:val="▪"/>
      <w:lvlJc w:val="left"/>
      <w:pPr>
        <w:ind w:left="1800" w:hanging="360"/>
      </w:pPr>
      <w:rPr>
        <w:rFonts w:ascii="Noto Sans Symbols" w:eastAsia="Noto Sans Symbols" w:hAnsi="Noto Sans Symbols" w:cs="Noto Sans Symbols"/>
      </w:rPr>
    </w:lvl>
    <w:lvl w:ilvl="3" w:tplc="6E2AABDE">
      <w:start w:val="1"/>
      <w:numFmt w:val="bullet"/>
      <w:lvlText w:val="●"/>
      <w:lvlJc w:val="left"/>
      <w:pPr>
        <w:ind w:left="2520" w:hanging="360"/>
      </w:pPr>
      <w:rPr>
        <w:rFonts w:ascii="Noto Sans Symbols" w:eastAsia="Noto Sans Symbols" w:hAnsi="Noto Sans Symbols" w:cs="Noto Sans Symbols"/>
      </w:rPr>
    </w:lvl>
    <w:lvl w:ilvl="4" w:tplc="D8BAE664">
      <w:start w:val="1"/>
      <w:numFmt w:val="bullet"/>
      <w:lvlText w:val="o"/>
      <w:lvlJc w:val="left"/>
      <w:pPr>
        <w:ind w:left="3240" w:hanging="360"/>
      </w:pPr>
      <w:rPr>
        <w:rFonts w:ascii="Courier New" w:eastAsia="Courier New" w:hAnsi="Courier New" w:cs="Courier New"/>
      </w:rPr>
    </w:lvl>
    <w:lvl w:ilvl="5" w:tplc="4FCA83B0">
      <w:start w:val="1"/>
      <w:numFmt w:val="bullet"/>
      <w:lvlText w:val="▪"/>
      <w:lvlJc w:val="left"/>
      <w:pPr>
        <w:ind w:left="3960" w:hanging="360"/>
      </w:pPr>
      <w:rPr>
        <w:rFonts w:ascii="Noto Sans Symbols" w:eastAsia="Noto Sans Symbols" w:hAnsi="Noto Sans Symbols" w:cs="Noto Sans Symbols"/>
      </w:rPr>
    </w:lvl>
    <w:lvl w:ilvl="6" w:tplc="61628116">
      <w:start w:val="1"/>
      <w:numFmt w:val="bullet"/>
      <w:lvlText w:val="●"/>
      <w:lvlJc w:val="left"/>
      <w:pPr>
        <w:ind w:left="4680" w:hanging="360"/>
      </w:pPr>
      <w:rPr>
        <w:rFonts w:ascii="Noto Sans Symbols" w:eastAsia="Noto Sans Symbols" w:hAnsi="Noto Sans Symbols" w:cs="Noto Sans Symbols"/>
      </w:rPr>
    </w:lvl>
    <w:lvl w:ilvl="7" w:tplc="CE0421B0">
      <w:start w:val="1"/>
      <w:numFmt w:val="bullet"/>
      <w:lvlText w:val="o"/>
      <w:lvlJc w:val="left"/>
      <w:pPr>
        <w:ind w:left="5400" w:hanging="360"/>
      </w:pPr>
      <w:rPr>
        <w:rFonts w:ascii="Courier New" w:eastAsia="Courier New" w:hAnsi="Courier New" w:cs="Courier New"/>
      </w:rPr>
    </w:lvl>
    <w:lvl w:ilvl="8" w:tplc="E0D0368E">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62D2D5F"/>
    <w:multiLevelType w:val="hybridMultilevel"/>
    <w:tmpl w:val="BD505F7A"/>
    <w:lvl w:ilvl="0" w:tplc="3DF673D4">
      <w:start w:val="1"/>
      <w:numFmt w:val="decimal"/>
      <w:lvlText w:val="%1."/>
      <w:lvlJc w:val="left"/>
      <w:pPr>
        <w:ind w:left="720" w:hanging="360"/>
      </w:pPr>
      <w:rPr>
        <w:b/>
      </w:rPr>
    </w:lvl>
    <w:lvl w:ilvl="1" w:tplc="22602FF0">
      <w:start w:val="1"/>
      <w:numFmt w:val="lowerLetter"/>
      <w:lvlText w:val="%2."/>
      <w:lvlJc w:val="left"/>
      <w:pPr>
        <w:ind w:left="1440" w:hanging="360"/>
      </w:pPr>
    </w:lvl>
    <w:lvl w:ilvl="2" w:tplc="707A81D6">
      <w:start w:val="1"/>
      <w:numFmt w:val="lowerRoman"/>
      <w:lvlText w:val="%3."/>
      <w:lvlJc w:val="right"/>
      <w:pPr>
        <w:ind w:left="2160" w:hanging="180"/>
      </w:pPr>
    </w:lvl>
    <w:lvl w:ilvl="3" w:tplc="6B981B2C">
      <w:start w:val="1"/>
      <w:numFmt w:val="decimal"/>
      <w:lvlText w:val="%4."/>
      <w:lvlJc w:val="left"/>
      <w:pPr>
        <w:ind w:left="2880" w:hanging="360"/>
      </w:pPr>
    </w:lvl>
    <w:lvl w:ilvl="4" w:tplc="C0669A26">
      <w:start w:val="1"/>
      <w:numFmt w:val="lowerLetter"/>
      <w:lvlText w:val="%5."/>
      <w:lvlJc w:val="left"/>
      <w:pPr>
        <w:ind w:left="3600" w:hanging="360"/>
      </w:pPr>
    </w:lvl>
    <w:lvl w:ilvl="5" w:tplc="0F00CF88">
      <w:start w:val="1"/>
      <w:numFmt w:val="lowerRoman"/>
      <w:lvlText w:val="%6."/>
      <w:lvlJc w:val="right"/>
      <w:pPr>
        <w:ind w:left="4320" w:hanging="180"/>
      </w:pPr>
    </w:lvl>
    <w:lvl w:ilvl="6" w:tplc="2B1AF588">
      <w:start w:val="1"/>
      <w:numFmt w:val="decimal"/>
      <w:lvlText w:val="%7."/>
      <w:lvlJc w:val="left"/>
      <w:pPr>
        <w:ind w:left="5040" w:hanging="360"/>
      </w:pPr>
    </w:lvl>
    <w:lvl w:ilvl="7" w:tplc="F4EEF918">
      <w:start w:val="1"/>
      <w:numFmt w:val="lowerLetter"/>
      <w:lvlText w:val="%8."/>
      <w:lvlJc w:val="left"/>
      <w:pPr>
        <w:ind w:left="5760" w:hanging="360"/>
      </w:pPr>
    </w:lvl>
    <w:lvl w:ilvl="8" w:tplc="AAC02588">
      <w:start w:val="1"/>
      <w:numFmt w:val="lowerRoman"/>
      <w:lvlText w:val="%9."/>
      <w:lvlJc w:val="right"/>
      <w:pPr>
        <w:ind w:left="6480" w:hanging="180"/>
      </w:pPr>
    </w:lvl>
  </w:abstractNum>
  <w:abstractNum w:abstractNumId="11" w15:restartNumberingAfterBreak="0">
    <w:nsid w:val="3774151F"/>
    <w:multiLevelType w:val="hybridMultilevel"/>
    <w:tmpl w:val="DC4CCDBE"/>
    <w:lvl w:ilvl="0" w:tplc="7E2E4A4E">
      <w:start w:val="1"/>
      <w:numFmt w:val="bullet"/>
      <w:lvlText w:val="-"/>
      <w:lvlJc w:val="left"/>
      <w:pPr>
        <w:ind w:left="1353" w:hanging="359"/>
      </w:pPr>
      <w:rPr>
        <w:rFonts w:ascii="Times" w:eastAsia="Times" w:hAnsi="Times" w:cs="Times"/>
      </w:rPr>
    </w:lvl>
    <w:lvl w:ilvl="1" w:tplc="0D966EC6">
      <w:start w:val="1"/>
      <w:numFmt w:val="bullet"/>
      <w:lvlText w:val="o"/>
      <w:lvlJc w:val="left"/>
      <w:pPr>
        <w:ind w:left="2073" w:hanging="360"/>
      </w:pPr>
      <w:rPr>
        <w:rFonts w:ascii="Courier New" w:eastAsia="Courier New" w:hAnsi="Courier New" w:cs="Courier New"/>
      </w:rPr>
    </w:lvl>
    <w:lvl w:ilvl="2" w:tplc="21D0847E">
      <w:start w:val="1"/>
      <w:numFmt w:val="bullet"/>
      <w:lvlText w:val="▪"/>
      <w:lvlJc w:val="left"/>
      <w:pPr>
        <w:ind w:left="2793" w:hanging="360"/>
      </w:pPr>
      <w:rPr>
        <w:rFonts w:ascii="Noto Sans Symbols" w:eastAsia="Noto Sans Symbols" w:hAnsi="Noto Sans Symbols" w:cs="Noto Sans Symbols"/>
      </w:rPr>
    </w:lvl>
    <w:lvl w:ilvl="3" w:tplc="7C08E3E4">
      <w:start w:val="1"/>
      <w:numFmt w:val="bullet"/>
      <w:lvlText w:val="●"/>
      <w:lvlJc w:val="left"/>
      <w:pPr>
        <w:ind w:left="3513" w:hanging="360"/>
      </w:pPr>
      <w:rPr>
        <w:rFonts w:ascii="Noto Sans Symbols" w:eastAsia="Noto Sans Symbols" w:hAnsi="Noto Sans Symbols" w:cs="Noto Sans Symbols"/>
      </w:rPr>
    </w:lvl>
    <w:lvl w:ilvl="4" w:tplc="4972EDDE">
      <w:start w:val="1"/>
      <w:numFmt w:val="bullet"/>
      <w:lvlText w:val="o"/>
      <w:lvlJc w:val="left"/>
      <w:pPr>
        <w:ind w:left="4233" w:hanging="360"/>
      </w:pPr>
      <w:rPr>
        <w:rFonts w:ascii="Courier New" w:eastAsia="Courier New" w:hAnsi="Courier New" w:cs="Courier New"/>
      </w:rPr>
    </w:lvl>
    <w:lvl w:ilvl="5" w:tplc="194CFED0">
      <w:start w:val="1"/>
      <w:numFmt w:val="bullet"/>
      <w:lvlText w:val="▪"/>
      <w:lvlJc w:val="left"/>
      <w:pPr>
        <w:ind w:left="4953" w:hanging="360"/>
      </w:pPr>
      <w:rPr>
        <w:rFonts w:ascii="Noto Sans Symbols" w:eastAsia="Noto Sans Symbols" w:hAnsi="Noto Sans Symbols" w:cs="Noto Sans Symbols"/>
      </w:rPr>
    </w:lvl>
    <w:lvl w:ilvl="6" w:tplc="094AA7FA">
      <w:start w:val="1"/>
      <w:numFmt w:val="bullet"/>
      <w:lvlText w:val="●"/>
      <w:lvlJc w:val="left"/>
      <w:pPr>
        <w:ind w:left="5673" w:hanging="360"/>
      </w:pPr>
      <w:rPr>
        <w:rFonts w:ascii="Noto Sans Symbols" w:eastAsia="Noto Sans Symbols" w:hAnsi="Noto Sans Symbols" w:cs="Noto Sans Symbols"/>
      </w:rPr>
    </w:lvl>
    <w:lvl w:ilvl="7" w:tplc="B4743DCA">
      <w:start w:val="1"/>
      <w:numFmt w:val="bullet"/>
      <w:lvlText w:val="o"/>
      <w:lvlJc w:val="left"/>
      <w:pPr>
        <w:ind w:left="6393" w:hanging="360"/>
      </w:pPr>
      <w:rPr>
        <w:rFonts w:ascii="Courier New" w:eastAsia="Courier New" w:hAnsi="Courier New" w:cs="Courier New"/>
      </w:rPr>
    </w:lvl>
    <w:lvl w:ilvl="8" w:tplc="F6EEAA88">
      <w:start w:val="1"/>
      <w:numFmt w:val="bullet"/>
      <w:lvlText w:val="▪"/>
      <w:lvlJc w:val="left"/>
      <w:pPr>
        <w:ind w:left="7113" w:hanging="360"/>
      </w:pPr>
      <w:rPr>
        <w:rFonts w:ascii="Noto Sans Symbols" w:eastAsia="Noto Sans Symbols" w:hAnsi="Noto Sans Symbols" w:cs="Noto Sans Symbols"/>
      </w:rPr>
    </w:lvl>
  </w:abstractNum>
  <w:abstractNum w:abstractNumId="12" w15:restartNumberingAfterBreak="0">
    <w:nsid w:val="3F7B192C"/>
    <w:multiLevelType w:val="hybridMultilevel"/>
    <w:tmpl w:val="D7127440"/>
    <w:lvl w:ilvl="0" w:tplc="29AC2C62">
      <w:start w:val="1"/>
      <w:numFmt w:val="decimal"/>
      <w:lvlText w:val="%1."/>
      <w:lvlJc w:val="left"/>
      <w:pPr>
        <w:ind w:left="720" w:hanging="360"/>
      </w:pPr>
    </w:lvl>
    <w:lvl w:ilvl="1" w:tplc="F3580634">
      <w:start w:val="1"/>
      <w:numFmt w:val="decimal"/>
      <w:lvlText w:val="%2."/>
      <w:lvlJc w:val="left"/>
      <w:pPr>
        <w:ind w:left="1440" w:hanging="1080"/>
      </w:pPr>
    </w:lvl>
    <w:lvl w:ilvl="2" w:tplc="339EB774">
      <w:start w:val="1"/>
      <w:numFmt w:val="decimal"/>
      <w:lvlText w:val="%3."/>
      <w:lvlJc w:val="left"/>
      <w:pPr>
        <w:ind w:left="2160" w:hanging="1980"/>
      </w:pPr>
    </w:lvl>
    <w:lvl w:ilvl="3" w:tplc="8D685392">
      <w:start w:val="1"/>
      <w:numFmt w:val="decimal"/>
      <w:lvlText w:val="%4."/>
      <w:lvlJc w:val="left"/>
      <w:pPr>
        <w:ind w:left="2880" w:hanging="2520"/>
      </w:pPr>
    </w:lvl>
    <w:lvl w:ilvl="4" w:tplc="576072E8">
      <w:start w:val="1"/>
      <w:numFmt w:val="decimal"/>
      <w:lvlText w:val="%5."/>
      <w:lvlJc w:val="left"/>
      <w:pPr>
        <w:ind w:left="3600" w:hanging="3240"/>
      </w:pPr>
    </w:lvl>
    <w:lvl w:ilvl="5" w:tplc="A62681F0">
      <w:start w:val="1"/>
      <w:numFmt w:val="decimal"/>
      <w:lvlText w:val="%6."/>
      <w:lvlJc w:val="left"/>
      <w:pPr>
        <w:ind w:left="4320" w:hanging="4140"/>
      </w:pPr>
    </w:lvl>
    <w:lvl w:ilvl="6" w:tplc="4B686BA8">
      <w:start w:val="1"/>
      <w:numFmt w:val="decimal"/>
      <w:lvlText w:val="%7."/>
      <w:lvlJc w:val="left"/>
      <w:pPr>
        <w:ind w:left="5040" w:hanging="4680"/>
      </w:pPr>
    </w:lvl>
    <w:lvl w:ilvl="7" w:tplc="ACC0EF8E">
      <w:start w:val="1"/>
      <w:numFmt w:val="decimal"/>
      <w:lvlText w:val="%8."/>
      <w:lvlJc w:val="left"/>
      <w:pPr>
        <w:ind w:left="5760" w:hanging="5400"/>
      </w:pPr>
    </w:lvl>
    <w:lvl w:ilvl="8" w:tplc="A7E8EE4C">
      <w:start w:val="1"/>
      <w:numFmt w:val="decimal"/>
      <w:lvlText w:val="%9."/>
      <w:lvlJc w:val="left"/>
      <w:pPr>
        <w:ind w:left="6480" w:hanging="6300"/>
      </w:pPr>
    </w:lvl>
  </w:abstractNum>
  <w:abstractNum w:abstractNumId="13" w15:restartNumberingAfterBreak="0">
    <w:nsid w:val="4A6D0335"/>
    <w:multiLevelType w:val="hybridMultilevel"/>
    <w:tmpl w:val="7DD825A8"/>
    <w:lvl w:ilvl="0" w:tplc="FE42CD3E">
      <w:start w:val="1"/>
      <w:numFmt w:val="bullet"/>
      <w:lvlText w:val="-"/>
      <w:lvlJc w:val="left"/>
      <w:pPr>
        <w:ind w:left="720" w:hanging="360"/>
      </w:pPr>
      <w:rPr>
        <w:rFonts w:ascii="Times" w:eastAsia="Times" w:hAnsi="Times" w:cs="Times"/>
      </w:rPr>
    </w:lvl>
    <w:lvl w:ilvl="1" w:tplc="73A05052">
      <w:start w:val="1"/>
      <w:numFmt w:val="bullet"/>
      <w:lvlText w:val="o"/>
      <w:lvlJc w:val="left"/>
      <w:pPr>
        <w:ind w:left="1440" w:hanging="360"/>
      </w:pPr>
      <w:rPr>
        <w:rFonts w:ascii="Courier New" w:eastAsia="Courier New" w:hAnsi="Courier New" w:cs="Courier New"/>
      </w:rPr>
    </w:lvl>
    <w:lvl w:ilvl="2" w:tplc="D9F8C0E0">
      <w:start w:val="1"/>
      <w:numFmt w:val="bullet"/>
      <w:lvlText w:val="▪"/>
      <w:lvlJc w:val="left"/>
      <w:pPr>
        <w:ind w:left="2160" w:hanging="360"/>
      </w:pPr>
      <w:rPr>
        <w:rFonts w:ascii="Noto Sans Symbols" w:eastAsia="Noto Sans Symbols" w:hAnsi="Noto Sans Symbols" w:cs="Noto Sans Symbols"/>
      </w:rPr>
    </w:lvl>
    <w:lvl w:ilvl="3" w:tplc="C7627BE0">
      <w:start w:val="1"/>
      <w:numFmt w:val="bullet"/>
      <w:lvlText w:val="●"/>
      <w:lvlJc w:val="left"/>
      <w:pPr>
        <w:ind w:left="2880" w:hanging="360"/>
      </w:pPr>
      <w:rPr>
        <w:rFonts w:ascii="Noto Sans Symbols" w:eastAsia="Noto Sans Symbols" w:hAnsi="Noto Sans Symbols" w:cs="Noto Sans Symbols"/>
      </w:rPr>
    </w:lvl>
    <w:lvl w:ilvl="4" w:tplc="D8ACE7CC">
      <w:start w:val="1"/>
      <w:numFmt w:val="bullet"/>
      <w:lvlText w:val="o"/>
      <w:lvlJc w:val="left"/>
      <w:pPr>
        <w:ind w:left="3600" w:hanging="360"/>
      </w:pPr>
      <w:rPr>
        <w:rFonts w:ascii="Courier New" w:eastAsia="Courier New" w:hAnsi="Courier New" w:cs="Courier New"/>
      </w:rPr>
    </w:lvl>
    <w:lvl w:ilvl="5" w:tplc="38627668">
      <w:start w:val="1"/>
      <w:numFmt w:val="bullet"/>
      <w:lvlText w:val="▪"/>
      <w:lvlJc w:val="left"/>
      <w:pPr>
        <w:ind w:left="4320" w:hanging="360"/>
      </w:pPr>
      <w:rPr>
        <w:rFonts w:ascii="Noto Sans Symbols" w:eastAsia="Noto Sans Symbols" w:hAnsi="Noto Sans Symbols" w:cs="Noto Sans Symbols"/>
      </w:rPr>
    </w:lvl>
    <w:lvl w:ilvl="6" w:tplc="D1E022E2">
      <w:start w:val="1"/>
      <w:numFmt w:val="bullet"/>
      <w:lvlText w:val="●"/>
      <w:lvlJc w:val="left"/>
      <w:pPr>
        <w:ind w:left="5040" w:hanging="360"/>
      </w:pPr>
      <w:rPr>
        <w:rFonts w:ascii="Noto Sans Symbols" w:eastAsia="Noto Sans Symbols" w:hAnsi="Noto Sans Symbols" w:cs="Noto Sans Symbols"/>
      </w:rPr>
    </w:lvl>
    <w:lvl w:ilvl="7" w:tplc="8BACC33E">
      <w:start w:val="1"/>
      <w:numFmt w:val="bullet"/>
      <w:lvlText w:val="o"/>
      <w:lvlJc w:val="left"/>
      <w:pPr>
        <w:ind w:left="5760" w:hanging="360"/>
      </w:pPr>
      <w:rPr>
        <w:rFonts w:ascii="Courier New" w:eastAsia="Courier New" w:hAnsi="Courier New" w:cs="Courier New"/>
      </w:rPr>
    </w:lvl>
    <w:lvl w:ilvl="8" w:tplc="9E521B16">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454483"/>
    <w:multiLevelType w:val="hybridMultilevel"/>
    <w:tmpl w:val="43C41844"/>
    <w:lvl w:ilvl="0" w:tplc="39CEF668">
      <w:start w:val="1"/>
      <w:numFmt w:val="bullet"/>
      <w:lvlText w:val="-"/>
      <w:lvlJc w:val="left"/>
      <w:pPr>
        <w:ind w:left="1353" w:hanging="359"/>
      </w:pPr>
      <w:rPr>
        <w:rFonts w:ascii="Times" w:eastAsia="Times" w:hAnsi="Times" w:cs="Times"/>
      </w:rPr>
    </w:lvl>
    <w:lvl w:ilvl="1" w:tplc="BF4A1A5A">
      <w:start w:val="1"/>
      <w:numFmt w:val="bullet"/>
      <w:lvlText w:val="o"/>
      <w:lvlJc w:val="left"/>
      <w:pPr>
        <w:ind w:left="2073" w:hanging="360"/>
      </w:pPr>
      <w:rPr>
        <w:rFonts w:ascii="Courier New" w:eastAsia="Courier New" w:hAnsi="Courier New" w:cs="Courier New"/>
      </w:rPr>
    </w:lvl>
    <w:lvl w:ilvl="2" w:tplc="44583EA8">
      <w:start w:val="1"/>
      <w:numFmt w:val="bullet"/>
      <w:lvlText w:val="▪"/>
      <w:lvlJc w:val="left"/>
      <w:pPr>
        <w:ind w:left="2793" w:hanging="360"/>
      </w:pPr>
      <w:rPr>
        <w:rFonts w:ascii="Noto Sans Symbols" w:eastAsia="Noto Sans Symbols" w:hAnsi="Noto Sans Symbols" w:cs="Noto Sans Symbols"/>
      </w:rPr>
    </w:lvl>
    <w:lvl w:ilvl="3" w:tplc="2A0216B6">
      <w:start w:val="1"/>
      <w:numFmt w:val="bullet"/>
      <w:lvlText w:val="●"/>
      <w:lvlJc w:val="left"/>
      <w:pPr>
        <w:ind w:left="3513" w:hanging="360"/>
      </w:pPr>
      <w:rPr>
        <w:rFonts w:ascii="Noto Sans Symbols" w:eastAsia="Noto Sans Symbols" w:hAnsi="Noto Sans Symbols" w:cs="Noto Sans Symbols"/>
      </w:rPr>
    </w:lvl>
    <w:lvl w:ilvl="4" w:tplc="9F18E83A">
      <w:start w:val="1"/>
      <w:numFmt w:val="bullet"/>
      <w:lvlText w:val="o"/>
      <w:lvlJc w:val="left"/>
      <w:pPr>
        <w:ind w:left="4233" w:hanging="360"/>
      </w:pPr>
      <w:rPr>
        <w:rFonts w:ascii="Courier New" w:eastAsia="Courier New" w:hAnsi="Courier New" w:cs="Courier New"/>
      </w:rPr>
    </w:lvl>
    <w:lvl w:ilvl="5" w:tplc="83422150">
      <w:start w:val="1"/>
      <w:numFmt w:val="bullet"/>
      <w:lvlText w:val="▪"/>
      <w:lvlJc w:val="left"/>
      <w:pPr>
        <w:ind w:left="4953" w:hanging="360"/>
      </w:pPr>
      <w:rPr>
        <w:rFonts w:ascii="Noto Sans Symbols" w:eastAsia="Noto Sans Symbols" w:hAnsi="Noto Sans Symbols" w:cs="Noto Sans Symbols"/>
      </w:rPr>
    </w:lvl>
    <w:lvl w:ilvl="6" w:tplc="82AA3EE0">
      <w:start w:val="1"/>
      <w:numFmt w:val="bullet"/>
      <w:lvlText w:val="●"/>
      <w:lvlJc w:val="left"/>
      <w:pPr>
        <w:ind w:left="5673" w:hanging="360"/>
      </w:pPr>
      <w:rPr>
        <w:rFonts w:ascii="Noto Sans Symbols" w:eastAsia="Noto Sans Symbols" w:hAnsi="Noto Sans Symbols" w:cs="Noto Sans Symbols"/>
      </w:rPr>
    </w:lvl>
    <w:lvl w:ilvl="7" w:tplc="8BFCAC7A">
      <w:start w:val="1"/>
      <w:numFmt w:val="bullet"/>
      <w:lvlText w:val="o"/>
      <w:lvlJc w:val="left"/>
      <w:pPr>
        <w:ind w:left="6393" w:hanging="360"/>
      </w:pPr>
      <w:rPr>
        <w:rFonts w:ascii="Courier New" w:eastAsia="Courier New" w:hAnsi="Courier New" w:cs="Courier New"/>
      </w:rPr>
    </w:lvl>
    <w:lvl w:ilvl="8" w:tplc="515EFE98">
      <w:start w:val="1"/>
      <w:numFmt w:val="bullet"/>
      <w:lvlText w:val="▪"/>
      <w:lvlJc w:val="left"/>
      <w:pPr>
        <w:ind w:left="7113" w:hanging="360"/>
      </w:pPr>
      <w:rPr>
        <w:rFonts w:ascii="Noto Sans Symbols" w:eastAsia="Noto Sans Symbols" w:hAnsi="Noto Sans Symbols" w:cs="Noto Sans Symbols"/>
      </w:rPr>
    </w:lvl>
  </w:abstractNum>
  <w:abstractNum w:abstractNumId="15" w15:restartNumberingAfterBreak="0">
    <w:nsid w:val="55432CF1"/>
    <w:multiLevelType w:val="hybridMultilevel"/>
    <w:tmpl w:val="9984009E"/>
    <w:lvl w:ilvl="0" w:tplc="2DC44174">
      <w:start w:val="1"/>
      <w:numFmt w:val="decimal"/>
      <w:lvlText w:val="%1."/>
      <w:lvlJc w:val="left"/>
      <w:pPr>
        <w:ind w:left="720" w:hanging="360"/>
      </w:pPr>
    </w:lvl>
    <w:lvl w:ilvl="1" w:tplc="5FE2F29C">
      <w:start w:val="1"/>
      <w:numFmt w:val="lowerLetter"/>
      <w:lvlText w:val="%2."/>
      <w:lvlJc w:val="left"/>
      <w:pPr>
        <w:ind w:left="1440" w:hanging="360"/>
      </w:pPr>
    </w:lvl>
    <w:lvl w:ilvl="2" w:tplc="DF2AE1E4">
      <w:start w:val="1"/>
      <w:numFmt w:val="lowerRoman"/>
      <w:lvlText w:val="%3."/>
      <w:lvlJc w:val="right"/>
      <w:pPr>
        <w:ind w:left="2160" w:hanging="180"/>
      </w:pPr>
    </w:lvl>
    <w:lvl w:ilvl="3" w:tplc="6D3AB6E4">
      <w:start w:val="1"/>
      <w:numFmt w:val="decimal"/>
      <w:lvlText w:val="%4."/>
      <w:lvlJc w:val="left"/>
      <w:pPr>
        <w:ind w:left="2880" w:hanging="360"/>
      </w:pPr>
    </w:lvl>
    <w:lvl w:ilvl="4" w:tplc="F446D26A">
      <w:start w:val="1"/>
      <w:numFmt w:val="lowerLetter"/>
      <w:lvlText w:val="%5."/>
      <w:lvlJc w:val="left"/>
      <w:pPr>
        <w:ind w:left="3600" w:hanging="360"/>
      </w:pPr>
    </w:lvl>
    <w:lvl w:ilvl="5" w:tplc="D7821D1E">
      <w:start w:val="1"/>
      <w:numFmt w:val="lowerRoman"/>
      <w:lvlText w:val="%6."/>
      <w:lvlJc w:val="right"/>
      <w:pPr>
        <w:ind w:left="4320" w:hanging="180"/>
      </w:pPr>
    </w:lvl>
    <w:lvl w:ilvl="6" w:tplc="62A24886">
      <w:start w:val="1"/>
      <w:numFmt w:val="decimal"/>
      <w:lvlText w:val="%7."/>
      <w:lvlJc w:val="left"/>
      <w:pPr>
        <w:ind w:left="5040" w:hanging="360"/>
      </w:pPr>
    </w:lvl>
    <w:lvl w:ilvl="7" w:tplc="B096E630">
      <w:start w:val="1"/>
      <w:numFmt w:val="lowerLetter"/>
      <w:lvlText w:val="%8."/>
      <w:lvlJc w:val="left"/>
      <w:pPr>
        <w:ind w:left="5760" w:hanging="360"/>
      </w:pPr>
    </w:lvl>
    <w:lvl w:ilvl="8" w:tplc="3E4A0788">
      <w:start w:val="1"/>
      <w:numFmt w:val="lowerRoman"/>
      <w:lvlText w:val="%9."/>
      <w:lvlJc w:val="right"/>
      <w:pPr>
        <w:ind w:left="6480" w:hanging="180"/>
      </w:pPr>
    </w:lvl>
  </w:abstractNum>
  <w:abstractNum w:abstractNumId="16" w15:restartNumberingAfterBreak="0">
    <w:nsid w:val="581D0E61"/>
    <w:multiLevelType w:val="hybridMultilevel"/>
    <w:tmpl w:val="9AE49AB4"/>
    <w:lvl w:ilvl="0" w:tplc="920C44FE">
      <w:start w:val="1"/>
      <w:numFmt w:val="bullet"/>
      <w:lvlText w:val="-"/>
      <w:lvlJc w:val="left"/>
      <w:pPr>
        <w:ind w:left="360" w:hanging="360"/>
      </w:pPr>
      <w:rPr>
        <w:rFonts w:ascii="Arial" w:eastAsia="Arial" w:hAnsi="Arial" w:cs="Arial"/>
      </w:rPr>
    </w:lvl>
    <w:lvl w:ilvl="1" w:tplc="1B1A2036">
      <w:start w:val="1"/>
      <w:numFmt w:val="bullet"/>
      <w:lvlText w:val="o"/>
      <w:lvlJc w:val="left"/>
      <w:pPr>
        <w:ind w:left="1080" w:hanging="360"/>
      </w:pPr>
      <w:rPr>
        <w:rFonts w:ascii="Courier New" w:eastAsia="Courier New" w:hAnsi="Courier New" w:cs="Courier New"/>
      </w:rPr>
    </w:lvl>
    <w:lvl w:ilvl="2" w:tplc="111A8838">
      <w:start w:val="1"/>
      <w:numFmt w:val="bullet"/>
      <w:lvlText w:val="▪"/>
      <w:lvlJc w:val="left"/>
      <w:pPr>
        <w:ind w:left="1800" w:hanging="360"/>
      </w:pPr>
      <w:rPr>
        <w:rFonts w:ascii="Noto Sans Symbols" w:eastAsia="Noto Sans Symbols" w:hAnsi="Noto Sans Symbols" w:cs="Noto Sans Symbols"/>
      </w:rPr>
    </w:lvl>
    <w:lvl w:ilvl="3" w:tplc="5A7EE832">
      <w:start w:val="1"/>
      <w:numFmt w:val="bullet"/>
      <w:lvlText w:val="●"/>
      <w:lvlJc w:val="left"/>
      <w:pPr>
        <w:ind w:left="2520" w:hanging="360"/>
      </w:pPr>
      <w:rPr>
        <w:rFonts w:ascii="Noto Sans Symbols" w:eastAsia="Noto Sans Symbols" w:hAnsi="Noto Sans Symbols" w:cs="Noto Sans Symbols"/>
      </w:rPr>
    </w:lvl>
    <w:lvl w:ilvl="4" w:tplc="7FB60DEC">
      <w:start w:val="1"/>
      <w:numFmt w:val="bullet"/>
      <w:lvlText w:val="o"/>
      <w:lvlJc w:val="left"/>
      <w:pPr>
        <w:ind w:left="3240" w:hanging="360"/>
      </w:pPr>
      <w:rPr>
        <w:rFonts w:ascii="Courier New" w:eastAsia="Courier New" w:hAnsi="Courier New" w:cs="Courier New"/>
      </w:rPr>
    </w:lvl>
    <w:lvl w:ilvl="5" w:tplc="867E0FB0">
      <w:start w:val="1"/>
      <w:numFmt w:val="bullet"/>
      <w:lvlText w:val="▪"/>
      <w:lvlJc w:val="left"/>
      <w:pPr>
        <w:ind w:left="3960" w:hanging="360"/>
      </w:pPr>
      <w:rPr>
        <w:rFonts w:ascii="Noto Sans Symbols" w:eastAsia="Noto Sans Symbols" w:hAnsi="Noto Sans Symbols" w:cs="Noto Sans Symbols"/>
      </w:rPr>
    </w:lvl>
    <w:lvl w:ilvl="6" w:tplc="41304946">
      <w:start w:val="1"/>
      <w:numFmt w:val="bullet"/>
      <w:lvlText w:val="●"/>
      <w:lvlJc w:val="left"/>
      <w:pPr>
        <w:ind w:left="4680" w:hanging="360"/>
      </w:pPr>
      <w:rPr>
        <w:rFonts w:ascii="Noto Sans Symbols" w:eastAsia="Noto Sans Symbols" w:hAnsi="Noto Sans Symbols" w:cs="Noto Sans Symbols"/>
      </w:rPr>
    </w:lvl>
    <w:lvl w:ilvl="7" w:tplc="6F404C78">
      <w:start w:val="1"/>
      <w:numFmt w:val="bullet"/>
      <w:lvlText w:val="o"/>
      <w:lvlJc w:val="left"/>
      <w:pPr>
        <w:ind w:left="5400" w:hanging="360"/>
      </w:pPr>
      <w:rPr>
        <w:rFonts w:ascii="Courier New" w:eastAsia="Courier New" w:hAnsi="Courier New" w:cs="Courier New"/>
      </w:rPr>
    </w:lvl>
    <w:lvl w:ilvl="8" w:tplc="10C24B1C">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E1C2196"/>
    <w:multiLevelType w:val="hybridMultilevel"/>
    <w:tmpl w:val="54FCB31C"/>
    <w:lvl w:ilvl="0" w:tplc="B8C2581A">
      <w:start w:val="3"/>
      <w:numFmt w:val="bullet"/>
      <w:lvlText w:val="-"/>
      <w:lvlJc w:val="left"/>
      <w:pPr>
        <w:ind w:left="360" w:hanging="360"/>
      </w:pPr>
      <w:rPr>
        <w:rFonts w:ascii="Calibri" w:eastAsia="Calibri" w:hAnsi="Calibri" w:cs="Calibri"/>
        <w:b/>
        <w:sz w:val="24"/>
        <w:szCs w:val="24"/>
      </w:rPr>
    </w:lvl>
    <w:lvl w:ilvl="1" w:tplc="62524EFC">
      <w:start w:val="1"/>
      <w:numFmt w:val="bullet"/>
      <w:lvlText w:val="•"/>
      <w:lvlJc w:val="left"/>
      <w:pPr>
        <w:ind w:left="1425" w:hanging="705"/>
      </w:pPr>
      <w:rPr>
        <w:rFonts w:ascii="Arial" w:eastAsia="Arial" w:hAnsi="Arial" w:cs="Arial"/>
      </w:rPr>
    </w:lvl>
    <w:lvl w:ilvl="2" w:tplc="692C13A6">
      <w:start w:val="1"/>
      <w:numFmt w:val="bullet"/>
      <w:lvlText w:val="▪"/>
      <w:lvlJc w:val="left"/>
      <w:pPr>
        <w:ind w:left="1800" w:hanging="360"/>
      </w:pPr>
      <w:rPr>
        <w:rFonts w:ascii="Noto Sans Symbols" w:eastAsia="Noto Sans Symbols" w:hAnsi="Noto Sans Symbols" w:cs="Noto Sans Symbols"/>
      </w:rPr>
    </w:lvl>
    <w:lvl w:ilvl="3" w:tplc="44A4CF22">
      <w:start w:val="1"/>
      <w:numFmt w:val="bullet"/>
      <w:lvlText w:val="●"/>
      <w:lvlJc w:val="left"/>
      <w:pPr>
        <w:ind w:left="2520" w:hanging="360"/>
      </w:pPr>
      <w:rPr>
        <w:rFonts w:ascii="Noto Sans Symbols" w:eastAsia="Noto Sans Symbols" w:hAnsi="Noto Sans Symbols" w:cs="Noto Sans Symbols"/>
      </w:rPr>
    </w:lvl>
    <w:lvl w:ilvl="4" w:tplc="0A06C324">
      <w:start w:val="1"/>
      <w:numFmt w:val="bullet"/>
      <w:lvlText w:val="o"/>
      <w:lvlJc w:val="left"/>
      <w:pPr>
        <w:ind w:left="3240" w:hanging="360"/>
      </w:pPr>
      <w:rPr>
        <w:rFonts w:ascii="Courier New" w:eastAsia="Courier New" w:hAnsi="Courier New" w:cs="Courier New"/>
      </w:rPr>
    </w:lvl>
    <w:lvl w:ilvl="5" w:tplc="F8C2D4E6">
      <w:start w:val="1"/>
      <w:numFmt w:val="bullet"/>
      <w:lvlText w:val="▪"/>
      <w:lvlJc w:val="left"/>
      <w:pPr>
        <w:ind w:left="3960" w:hanging="360"/>
      </w:pPr>
      <w:rPr>
        <w:rFonts w:ascii="Noto Sans Symbols" w:eastAsia="Noto Sans Symbols" w:hAnsi="Noto Sans Symbols" w:cs="Noto Sans Symbols"/>
      </w:rPr>
    </w:lvl>
    <w:lvl w:ilvl="6" w:tplc="08063078">
      <w:start w:val="1"/>
      <w:numFmt w:val="bullet"/>
      <w:lvlText w:val="●"/>
      <w:lvlJc w:val="left"/>
      <w:pPr>
        <w:ind w:left="4680" w:hanging="360"/>
      </w:pPr>
      <w:rPr>
        <w:rFonts w:ascii="Noto Sans Symbols" w:eastAsia="Noto Sans Symbols" w:hAnsi="Noto Sans Symbols" w:cs="Noto Sans Symbols"/>
      </w:rPr>
    </w:lvl>
    <w:lvl w:ilvl="7" w:tplc="C7545D90">
      <w:start w:val="1"/>
      <w:numFmt w:val="bullet"/>
      <w:lvlText w:val="o"/>
      <w:lvlJc w:val="left"/>
      <w:pPr>
        <w:ind w:left="5400" w:hanging="360"/>
      </w:pPr>
      <w:rPr>
        <w:rFonts w:ascii="Courier New" w:eastAsia="Courier New" w:hAnsi="Courier New" w:cs="Courier New"/>
      </w:rPr>
    </w:lvl>
    <w:lvl w:ilvl="8" w:tplc="B3A09186">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34222FE"/>
    <w:multiLevelType w:val="hybridMultilevel"/>
    <w:tmpl w:val="5442D984"/>
    <w:lvl w:ilvl="0" w:tplc="388A5F54">
      <w:start w:val="1"/>
      <w:numFmt w:val="upperRoman"/>
      <w:lvlText w:val="%1."/>
      <w:lvlJc w:val="right"/>
      <w:pPr>
        <w:ind w:left="720" w:hanging="360"/>
      </w:pPr>
      <w:rPr>
        <w:rFonts w:ascii="Arial" w:eastAsia="Arial" w:hAnsi="Arial" w:cs="Arial"/>
        <w:b/>
        <w:sz w:val="24"/>
        <w:szCs w:val="24"/>
      </w:rPr>
    </w:lvl>
    <w:lvl w:ilvl="1" w:tplc="B106C938">
      <w:start w:val="1"/>
      <w:numFmt w:val="bullet"/>
      <w:lvlText w:val="o"/>
      <w:lvlJc w:val="left"/>
      <w:pPr>
        <w:ind w:left="1440" w:hanging="360"/>
      </w:pPr>
      <w:rPr>
        <w:rFonts w:ascii="Courier New" w:eastAsia="Courier New" w:hAnsi="Courier New" w:cs="Courier New"/>
      </w:rPr>
    </w:lvl>
    <w:lvl w:ilvl="2" w:tplc="088C547E">
      <w:start w:val="1"/>
      <w:numFmt w:val="bullet"/>
      <w:lvlText w:val="▪"/>
      <w:lvlJc w:val="left"/>
      <w:pPr>
        <w:ind w:left="2160" w:hanging="360"/>
      </w:pPr>
      <w:rPr>
        <w:rFonts w:ascii="Noto Sans Symbols" w:eastAsia="Noto Sans Symbols" w:hAnsi="Noto Sans Symbols" w:cs="Noto Sans Symbols"/>
      </w:rPr>
    </w:lvl>
    <w:lvl w:ilvl="3" w:tplc="DBD2B75E">
      <w:start w:val="1"/>
      <w:numFmt w:val="bullet"/>
      <w:lvlText w:val="●"/>
      <w:lvlJc w:val="left"/>
      <w:pPr>
        <w:ind w:left="2880" w:hanging="360"/>
      </w:pPr>
      <w:rPr>
        <w:rFonts w:ascii="Noto Sans Symbols" w:eastAsia="Noto Sans Symbols" w:hAnsi="Noto Sans Symbols" w:cs="Noto Sans Symbols"/>
      </w:rPr>
    </w:lvl>
    <w:lvl w:ilvl="4" w:tplc="FEA6DB22">
      <w:start w:val="1"/>
      <w:numFmt w:val="bullet"/>
      <w:lvlText w:val="o"/>
      <w:lvlJc w:val="left"/>
      <w:pPr>
        <w:ind w:left="3600" w:hanging="360"/>
      </w:pPr>
      <w:rPr>
        <w:rFonts w:ascii="Courier New" w:eastAsia="Courier New" w:hAnsi="Courier New" w:cs="Courier New"/>
      </w:rPr>
    </w:lvl>
    <w:lvl w:ilvl="5" w:tplc="4EEE8844">
      <w:start w:val="1"/>
      <w:numFmt w:val="bullet"/>
      <w:lvlText w:val="▪"/>
      <w:lvlJc w:val="left"/>
      <w:pPr>
        <w:ind w:left="4320" w:hanging="360"/>
      </w:pPr>
      <w:rPr>
        <w:rFonts w:ascii="Noto Sans Symbols" w:eastAsia="Noto Sans Symbols" w:hAnsi="Noto Sans Symbols" w:cs="Noto Sans Symbols"/>
      </w:rPr>
    </w:lvl>
    <w:lvl w:ilvl="6" w:tplc="2A56AF52">
      <w:start w:val="1"/>
      <w:numFmt w:val="bullet"/>
      <w:lvlText w:val="●"/>
      <w:lvlJc w:val="left"/>
      <w:pPr>
        <w:ind w:left="5040" w:hanging="360"/>
      </w:pPr>
      <w:rPr>
        <w:rFonts w:ascii="Noto Sans Symbols" w:eastAsia="Noto Sans Symbols" w:hAnsi="Noto Sans Symbols" w:cs="Noto Sans Symbols"/>
      </w:rPr>
    </w:lvl>
    <w:lvl w:ilvl="7" w:tplc="8CAE6A50">
      <w:start w:val="1"/>
      <w:numFmt w:val="bullet"/>
      <w:lvlText w:val="o"/>
      <w:lvlJc w:val="left"/>
      <w:pPr>
        <w:ind w:left="5760" w:hanging="360"/>
      </w:pPr>
      <w:rPr>
        <w:rFonts w:ascii="Courier New" w:eastAsia="Courier New" w:hAnsi="Courier New" w:cs="Courier New"/>
      </w:rPr>
    </w:lvl>
    <w:lvl w:ilvl="8" w:tplc="F9CA6992">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9E4F73"/>
    <w:multiLevelType w:val="hybridMultilevel"/>
    <w:tmpl w:val="4776E9F0"/>
    <w:lvl w:ilvl="0" w:tplc="30F2FB22">
      <w:start w:val="1"/>
      <w:numFmt w:val="lowerLetter"/>
      <w:lvlText w:val="%1."/>
      <w:lvlJc w:val="left"/>
      <w:pPr>
        <w:ind w:left="720" w:hanging="360"/>
      </w:pPr>
    </w:lvl>
    <w:lvl w:ilvl="1" w:tplc="08FCE6E2">
      <w:start w:val="1"/>
      <w:numFmt w:val="lowerLetter"/>
      <w:lvlText w:val="%2."/>
      <w:lvlJc w:val="left"/>
      <w:pPr>
        <w:ind w:left="1440" w:hanging="360"/>
      </w:pPr>
    </w:lvl>
    <w:lvl w:ilvl="2" w:tplc="F61ADDEE">
      <w:start w:val="1"/>
      <w:numFmt w:val="lowerRoman"/>
      <w:lvlText w:val="%3."/>
      <w:lvlJc w:val="right"/>
      <w:pPr>
        <w:ind w:left="2160" w:hanging="180"/>
      </w:pPr>
    </w:lvl>
    <w:lvl w:ilvl="3" w:tplc="9DE6115A">
      <w:start w:val="1"/>
      <w:numFmt w:val="decimal"/>
      <w:lvlText w:val="%4."/>
      <w:lvlJc w:val="left"/>
      <w:pPr>
        <w:ind w:left="2880" w:hanging="360"/>
      </w:pPr>
    </w:lvl>
    <w:lvl w:ilvl="4" w:tplc="1B609D22">
      <w:start w:val="1"/>
      <w:numFmt w:val="lowerLetter"/>
      <w:lvlText w:val="%5."/>
      <w:lvlJc w:val="left"/>
      <w:pPr>
        <w:ind w:left="3600" w:hanging="360"/>
      </w:pPr>
    </w:lvl>
    <w:lvl w:ilvl="5" w:tplc="ABF8E21C">
      <w:start w:val="1"/>
      <w:numFmt w:val="lowerRoman"/>
      <w:lvlText w:val="%6."/>
      <w:lvlJc w:val="right"/>
      <w:pPr>
        <w:ind w:left="4320" w:hanging="180"/>
      </w:pPr>
    </w:lvl>
    <w:lvl w:ilvl="6" w:tplc="F126D802">
      <w:start w:val="1"/>
      <w:numFmt w:val="decimal"/>
      <w:lvlText w:val="%7."/>
      <w:lvlJc w:val="left"/>
      <w:pPr>
        <w:ind w:left="5040" w:hanging="360"/>
      </w:pPr>
    </w:lvl>
    <w:lvl w:ilvl="7" w:tplc="7BFAA55A">
      <w:start w:val="1"/>
      <w:numFmt w:val="lowerLetter"/>
      <w:lvlText w:val="%8."/>
      <w:lvlJc w:val="left"/>
      <w:pPr>
        <w:ind w:left="5760" w:hanging="360"/>
      </w:pPr>
    </w:lvl>
    <w:lvl w:ilvl="8" w:tplc="1960EE40">
      <w:start w:val="1"/>
      <w:numFmt w:val="lowerRoman"/>
      <w:lvlText w:val="%9."/>
      <w:lvlJc w:val="right"/>
      <w:pPr>
        <w:ind w:left="6480" w:hanging="180"/>
      </w:pPr>
    </w:lvl>
  </w:abstractNum>
  <w:abstractNum w:abstractNumId="20" w15:restartNumberingAfterBreak="0">
    <w:nsid w:val="704A0DC0"/>
    <w:multiLevelType w:val="hybridMultilevel"/>
    <w:tmpl w:val="4F7A74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5A8036A"/>
    <w:multiLevelType w:val="hybridMultilevel"/>
    <w:tmpl w:val="400ECD40"/>
    <w:lvl w:ilvl="0" w:tplc="A1FA9302">
      <w:start w:val="1"/>
      <w:numFmt w:val="bullet"/>
      <w:lvlText w:val="●"/>
      <w:lvlJc w:val="left"/>
      <w:pPr>
        <w:ind w:left="720" w:hanging="360"/>
      </w:pPr>
      <w:rPr>
        <w:rFonts w:ascii="Noto Sans Symbols" w:eastAsia="Noto Sans Symbols" w:hAnsi="Noto Sans Symbols" w:cs="Noto Sans Symbols"/>
      </w:rPr>
    </w:lvl>
    <w:lvl w:ilvl="1" w:tplc="3886BDFA">
      <w:start w:val="1"/>
      <w:numFmt w:val="bullet"/>
      <w:lvlText w:val="o"/>
      <w:lvlJc w:val="left"/>
      <w:pPr>
        <w:ind w:left="1440" w:hanging="360"/>
      </w:pPr>
      <w:rPr>
        <w:rFonts w:ascii="Courier New" w:eastAsia="Courier New" w:hAnsi="Courier New" w:cs="Courier New"/>
      </w:rPr>
    </w:lvl>
    <w:lvl w:ilvl="2" w:tplc="A67C77F4">
      <w:start w:val="1"/>
      <w:numFmt w:val="bullet"/>
      <w:lvlText w:val="▪"/>
      <w:lvlJc w:val="left"/>
      <w:pPr>
        <w:ind w:left="2160" w:hanging="360"/>
      </w:pPr>
      <w:rPr>
        <w:rFonts w:ascii="Noto Sans Symbols" w:eastAsia="Noto Sans Symbols" w:hAnsi="Noto Sans Symbols" w:cs="Noto Sans Symbols"/>
      </w:rPr>
    </w:lvl>
    <w:lvl w:ilvl="3" w:tplc="3C8AE6DA">
      <w:start w:val="1"/>
      <w:numFmt w:val="bullet"/>
      <w:lvlText w:val="●"/>
      <w:lvlJc w:val="left"/>
      <w:pPr>
        <w:ind w:left="2880" w:hanging="360"/>
      </w:pPr>
      <w:rPr>
        <w:rFonts w:ascii="Noto Sans Symbols" w:eastAsia="Noto Sans Symbols" w:hAnsi="Noto Sans Symbols" w:cs="Noto Sans Symbols"/>
      </w:rPr>
    </w:lvl>
    <w:lvl w:ilvl="4" w:tplc="BF56EFB8">
      <w:start w:val="1"/>
      <w:numFmt w:val="bullet"/>
      <w:lvlText w:val="o"/>
      <w:lvlJc w:val="left"/>
      <w:pPr>
        <w:ind w:left="3600" w:hanging="360"/>
      </w:pPr>
      <w:rPr>
        <w:rFonts w:ascii="Courier New" w:eastAsia="Courier New" w:hAnsi="Courier New" w:cs="Courier New"/>
      </w:rPr>
    </w:lvl>
    <w:lvl w:ilvl="5" w:tplc="0ADA9F9C">
      <w:start w:val="1"/>
      <w:numFmt w:val="bullet"/>
      <w:lvlText w:val="▪"/>
      <w:lvlJc w:val="left"/>
      <w:pPr>
        <w:ind w:left="4320" w:hanging="360"/>
      </w:pPr>
      <w:rPr>
        <w:rFonts w:ascii="Noto Sans Symbols" w:eastAsia="Noto Sans Symbols" w:hAnsi="Noto Sans Symbols" w:cs="Noto Sans Symbols"/>
      </w:rPr>
    </w:lvl>
    <w:lvl w:ilvl="6" w:tplc="AFCCB504">
      <w:start w:val="1"/>
      <w:numFmt w:val="bullet"/>
      <w:lvlText w:val="●"/>
      <w:lvlJc w:val="left"/>
      <w:pPr>
        <w:ind w:left="5040" w:hanging="360"/>
      </w:pPr>
      <w:rPr>
        <w:rFonts w:ascii="Noto Sans Symbols" w:eastAsia="Noto Sans Symbols" w:hAnsi="Noto Sans Symbols" w:cs="Noto Sans Symbols"/>
      </w:rPr>
    </w:lvl>
    <w:lvl w:ilvl="7" w:tplc="CCA2F4A2">
      <w:start w:val="1"/>
      <w:numFmt w:val="bullet"/>
      <w:lvlText w:val="o"/>
      <w:lvlJc w:val="left"/>
      <w:pPr>
        <w:ind w:left="5760" w:hanging="360"/>
      </w:pPr>
      <w:rPr>
        <w:rFonts w:ascii="Courier New" w:eastAsia="Courier New" w:hAnsi="Courier New" w:cs="Courier New"/>
      </w:rPr>
    </w:lvl>
    <w:lvl w:ilvl="8" w:tplc="95AA3EBC">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F02E74"/>
    <w:multiLevelType w:val="hybridMultilevel"/>
    <w:tmpl w:val="87728DB4"/>
    <w:lvl w:ilvl="0" w:tplc="D86C6694">
      <w:start w:val="1"/>
      <w:numFmt w:val="decimal"/>
      <w:lvlText w:val="%1."/>
      <w:lvlJc w:val="left"/>
      <w:pPr>
        <w:ind w:left="720" w:hanging="360"/>
      </w:pPr>
    </w:lvl>
    <w:lvl w:ilvl="1" w:tplc="93AA7072">
      <w:start w:val="1"/>
      <w:numFmt w:val="lowerLetter"/>
      <w:lvlText w:val="%2."/>
      <w:lvlJc w:val="left"/>
      <w:pPr>
        <w:ind w:left="1440" w:hanging="360"/>
      </w:pPr>
      <w:rPr>
        <w:b/>
      </w:rPr>
    </w:lvl>
    <w:lvl w:ilvl="2" w:tplc="43C41C32">
      <w:start w:val="1"/>
      <w:numFmt w:val="lowerRoman"/>
      <w:lvlText w:val="%3."/>
      <w:lvlJc w:val="right"/>
      <w:pPr>
        <w:ind w:left="2160" w:hanging="180"/>
      </w:pPr>
    </w:lvl>
    <w:lvl w:ilvl="3" w:tplc="F5CE6E50">
      <w:start w:val="1"/>
      <w:numFmt w:val="decimal"/>
      <w:lvlText w:val="%4."/>
      <w:lvlJc w:val="left"/>
      <w:pPr>
        <w:ind w:left="2880" w:hanging="360"/>
      </w:pPr>
    </w:lvl>
    <w:lvl w:ilvl="4" w:tplc="53CA07CA">
      <w:start w:val="1"/>
      <w:numFmt w:val="lowerLetter"/>
      <w:lvlText w:val="%5."/>
      <w:lvlJc w:val="left"/>
      <w:pPr>
        <w:ind w:left="3600" w:hanging="360"/>
      </w:pPr>
    </w:lvl>
    <w:lvl w:ilvl="5" w:tplc="1DC45686">
      <w:start w:val="1"/>
      <w:numFmt w:val="lowerRoman"/>
      <w:lvlText w:val="%6."/>
      <w:lvlJc w:val="right"/>
      <w:pPr>
        <w:ind w:left="4320" w:hanging="180"/>
      </w:pPr>
    </w:lvl>
    <w:lvl w:ilvl="6" w:tplc="B9441938">
      <w:start w:val="1"/>
      <w:numFmt w:val="decimal"/>
      <w:lvlText w:val="%7."/>
      <w:lvlJc w:val="left"/>
      <w:pPr>
        <w:ind w:left="5040" w:hanging="360"/>
      </w:pPr>
    </w:lvl>
    <w:lvl w:ilvl="7" w:tplc="EA1A6B72">
      <w:start w:val="1"/>
      <w:numFmt w:val="lowerLetter"/>
      <w:lvlText w:val="%8."/>
      <w:lvlJc w:val="left"/>
      <w:pPr>
        <w:ind w:left="5760" w:hanging="360"/>
      </w:pPr>
    </w:lvl>
    <w:lvl w:ilvl="8" w:tplc="912010F2">
      <w:start w:val="1"/>
      <w:numFmt w:val="lowerRoman"/>
      <w:lvlText w:val="%9."/>
      <w:lvlJc w:val="right"/>
      <w:pPr>
        <w:ind w:left="6480" w:hanging="180"/>
      </w:pPr>
    </w:lvl>
  </w:abstractNum>
  <w:num w:numId="1">
    <w:abstractNumId w:val="22"/>
  </w:num>
  <w:num w:numId="2">
    <w:abstractNumId w:val="8"/>
  </w:num>
  <w:num w:numId="3">
    <w:abstractNumId w:val="15"/>
  </w:num>
  <w:num w:numId="4">
    <w:abstractNumId w:val="10"/>
  </w:num>
  <w:num w:numId="5">
    <w:abstractNumId w:val="7"/>
  </w:num>
  <w:num w:numId="6">
    <w:abstractNumId w:val="4"/>
  </w:num>
  <w:num w:numId="7">
    <w:abstractNumId w:val="21"/>
  </w:num>
  <w:num w:numId="8">
    <w:abstractNumId w:val="6"/>
  </w:num>
  <w:num w:numId="9">
    <w:abstractNumId w:val="3"/>
  </w:num>
  <w:num w:numId="10">
    <w:abstractNumId w:val="0"/>
  </w:num>
  <w:num w:numId="11">
    <w:abstractNumId w:val="9"/>
  </w:num>
  <w:num w:numId="12">
    <w:abstractNumId w:val="5"/>
  </w:num>
  <w:num w:numId="13">
    <w:abstractNumId w:val="1"/>
  </w:num>
  <w:num w:numId="14">
    <w:abstractNumId w:val="19"/>
  </w:num>
  <w:num w:numId="15">
    <w:abstractNumId w:val="13"/>
  </w:num>
  <w:num w:numId="16">
    <w:abstractNumId w:val="14"/>
  </w:num>
  <w:num w:numId="17">
    <w:abstractNumId w:val="17"/>
  </w:num>
  <w:num w:numId="18">
    <w:abstractNumId w:val="11"/>
  </w:num>
  <w:num w:numId="19">
    <w:abstractNumId w:val="16"/>
  </w:num>
  <w:num w:numId="20">
    <w:abstractNumId w:val="18"/>
  </w:num>
  <w:num w:numId="21">
    <w:abstractNumId w:val="12"/>
  </w:num>
  <w:num w:numId="22">
    <w:abstractNumId w:val="2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826"/>
    <w:rsid w:val="00006AE2"/>
    <w:rsid w:val="000719D5"/>
    <w:rsid w:val="00076551"/>
    <w:rsid w:val="00097513"/>
    <w:rsid w:val="000D19A2"/>
    <w:rsid w:val="00104768"/>
    <w:rsid w:val="00107365"/>
    <w:rsid w:val="00120B58"/>
    <w:rsid w:val="001367B5"/>
    <w:rsid w:val="001E34B7"/>
    <w:rsid w:val="00211798"/>
    <w:rsid w:val="00246B6C"/>
    <w:rsid w:val="00247E4D"/>
    <w:rsid w:val="00254611"/>
    <w:rsid w:val="00281636"/>
    <w:rsid w:val="002A09BD"/>
    <w:rsid w:val="002A6B9A"/>
    <w:rsid w:val="002D3F68"/>
    <w:rsid w:val="003114AC"/>
    <w:rsid w:val="003666A6"/>
    <w:rsid w:val="003C2C41"/>
    <w:rsid w:val="003E6205"/>
    <w:rsid w:val="00453C18"/>
    <w:rsid w:val="00493524"/>
    <w:rsid w:val="004A0C16"/>
    <w:rsid w:val="004A2D66"/>
    <w:rsid w:val="004D43F0"/>
    <w:rsid w:val="005525DE"/>
    <w:rsid w:val="005E1327"/>
    <w:rsid w:val="00600323"/>
    <w:rsid w:val="0066772B"/>
    <w:rsid w:val="00684095"/>
    <w:rsid w:val="006E679A"/>
    <w:rsid w:val="006F0738"/>
    <w:rsid w:val="0070297C"/>
    <w:rsid w:val="00716EFA"/>
    <w:rsid w:val="00742C36"/>
    <w:rsid w:val="007453D2"/>
    <w:rsid w:val="007C2E5E"/>
    <w:rsid w:val="00803AA5"/>
    <w:rsid w:val="00842BE6"/>
    <w:rsid w:val="008500BE"/>
    <w:rsid w:val="008735DD"/>
    <w:rsid w:val="00897BC2"/>
    <w:rsid w:val="008A10E1"/>
    <w:rsid w:val="008D1A33"/>
    <w:rsid w:val="00962DC7"/>
    <w:rsid w:val="00A43B87"/>
    <w:rsid w:val="00A51281"/>
    <w:rsid w:val="00A72820"/>
    <w:rsid w:val="00AA2F8B"/>
    <w:rsid w:val="00B50826"/>
    <w:rsid w:val="00B6562C"/>
    <w:rsid w:val="00BA759C"/>
    <w:rsid w:val="00BD2452"/>
    <w:rsid w:val="00BD484A"/>
    <w:rsid w:val="00C33328"/>
    <w:rsid w:val="00CE6120"/>
    <w:rsid w:val="00D029B1"/>
    <w:rsid w:val="00DA052A"/>
    <w:rsid w:val="00DC2EC1"/>
    <w:rsid w:val="00DF086A"/>
    <w:rsid w:val="00E03C4A"/>
    <w:rsid w:val="00E427E5"/>
    <w:rsid w:val="00E84142"/>
    <w:rsid w:val="00EA5D83"/>
    <w:rsid w:val="00EC4DBF"/>
    <w:rsid w:val="00EC7A02"/>
    <w:rsid w:val="00F358F9"/>
    <w:rsid w:val="00F62D58"/>
    <w:rsid w:val="00F9383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DBEE7"/>
  <w15:docId w15:val="{DB5014B1-7B25-4721-BC3B-F31A399B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26A"/>
  </w:style>
  <w:style w:type="paragraph" w:styleId="Ttulo1">
    <w:name w:val="heading 1"/>
    <w:basedOn w:val="Normal"/>
    <w:next w:val="Normal"/>
    <w:link w:val="Ttulo1Car"/>
    <w:uiPriority w:val="9"/>
    <w:qFormat/>
    <w:rsid w:val="00BE126A"/>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Ttulo2">
    <w:name w:val="heading 2"/>
    <w:basedOn w:val="Normal"/>
    <w:next w:val="Normal"/>
    <w:link w:val="Ttulo2Car"/>
    <w:uiPriority w:val="9"/>
    <w:semiHidden/>
    <w:unhideWhenUsed/>
    <w:qFormat/>
    <w:rsid w:val="00BE126A"/>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BE126A"/>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BE126A"/>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BE126A"/>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BE126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BE126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BE126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BE126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E126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E126A"/>
    <w:rPr>
      <w:rFonts w:asciiTheme="majorHAnsi" w:eastAsiaTheme="majorEastAsia" w:hAnsiTheme="majorHAnsi" w:cstheme="majorBidi"/>
      <w:b/>
      <w:bCs/>
      <w:i/>
      <w:iCs/>
      <w:sz w:val="28"/>
      <w:szCs w:val="28"/>
    </w:rPr>
  </w:style>
  <w:style w:type="character" w:customStyle="1" w:styleId="Ttulo6Car">
    <w:name w:val="Título 6 Car"/>
    <w:basedOn w:val="Fuentedeprrafopredeter"/>
    <w:link w:val="Ttulo6"/>
    <w:rsid w:val="00BE126A"/>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BE126A"/>
    <w:rPr>
      <w:rFonts w:eastAsiaTheme="minorEastAsia"/>
      <w:sz w:val="24"/>
      <w:szCs w:val="24"/>
    </w:rPr>
  </w:style>
  <w:style w:type="character" w:customStyle="1" w:styleId="Ttulo3Car">
    <w:name w:val="Título 3 Car"/>
    <w:basedOn w:val="Fuentedeprrafopredeter"/>
    <w:link w:val="Ttulo3"/>
    <w:uiPriority w:val="9"/>
    <w:semiHidden/>
    <w:rsid w:val="00BE126A"/>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BE126A"/>
    <w:rPr>
      <w:rFonts w:eastAsiaTheme="minorEastAsia"/>
      <w:b/>
      <w:bCs/>
      <w:sz w:val="28"/>
      <w:szCs w:val="28"/>
    </w:rPr>
  </w:style>
  <w:style w:type="character" w:customStyle="1" w:styleId="Ttulo5Car">
    <w:name w:val="Título 5 Car"/>
    <w:basedOn w:val="Fuentedeprrafopredeter"/>
    <w:link w:val="Ttulo5"/>
    <w:uiPriority w:val="9"/>
    <w:semiHidden/>
    <w:rsid w:val="00BE126A"/>
    <w:rPr>
      <w:rFonts w:eastAsiaTheme="minorEastAsia"/>
      <w:b/>
      <w:bCs/>
      <w:i/>
      <w:iCs/>
      <w:sz w:val="26"/>
      <w:szCs w:val="26"/>
    </w:rPr>
  </w:style>
  <w:style w:type="character" w:customStyle="1" w:styleId="Ttulo8Car">
    <w:name w:val="Título 8 Car"/>
    <w:basedOn w:val="Fuentedeprrafopredeter"/>
    <w:link w:val="Ttulo8"/>
    <w:uiPriority w:val="9"/>
    <w:semiHidden/>
    <w:rsid w:val="00BE126A"/>
    <w:rPr>
      <w:rFonts w:eastAsiaTheme="minorEastAsia"/>
      <w:i/>
      <w:iCs/>
      <w:sz w:val="24"/>
      <w:szCs w:val="24"/>
    </w:rPr>
  </w:style>
  <w:style w:type="character" w:customStyle="1" w:styleId="Ttulo9Car">
    <w:name w:val="Título 9 Car"/>
    <w:basedOn w:val="Fuentedeprrafopredeter"/>
    <w:link w:val="Ttulo9"/>
    <w:uiPriority w:val="9"/>
    <w:semiHidden/>
    <w:rsid w:val="00BE126A"/>
    <w:rPr>
      <w:rFonts w:asciiTheme="majorHAnsi" w:eastAsiaTheme="majorEastAsia" w:hAnsiTheme="majorHAnsi" w:cstheme="majorBidi"/>
    </w:rPr>
  </w:style>
  <w:style w:type="paragraph" w:styleId="Prrafodelista">
    <w:name w:val="List Paragraph"/>
    <w:aliases w:val="TITULO A,bei normal,Lista 123,Iz - Párrafo de lista,Sivsa Parrafo,Numeracion iniciativas,ASPECTOS GENERALES,Cuadro 2-1,Párrafo de lista2,Footnote,List Paragraph1,Titulo de Fígura,List number Paragraph,SOP_bullet1,List Paragraph,WB Para"/>
    <w:basedOn w:val="Normal"/>
    <w:link w:val="PrrafodelistaCar"/>
    <w:uiPriority w:val="34"/>
    <w:qFormat/>
    <w:rsid w:val="00BE126A"/>
    <w:pPr>
      <w:ind w:left="720"/>
      <w:contextualSpacing/>
    </w:pPr>
  </w:style>
  <w:style w:type="character" w:customStyle="1" w:styleId="PrrafodelistaCar">
    <w:name w:val="Párrafo de lista Car"/>
    <w:aliases w:val="TITULO A Car,bei normal Car,Lista 123 Car,Iz - Párrafo de lista Car,Sivsa Parrafo Car,Numeracion iniciativas Car,ASPECTOS GENERALES Car,Cuadro 2-1 Car,Párrafo de lista2 Car,Footnote Car,List Paragraph1 Car,Titulo de Fígura Car"/>
    <w:link w:val="Prrafodelista"/>
    <w:uiPriority w:val="34"/>
    <w:qFormat/>
    <w:locked/>
    <w:rsid w:val="00BE126A"/>
    <w:rPr>
      <w:rFonts w:ascii="Times New Roman" w:eastAsia="Times New Roman" w:hAnsi="Times New Roman" w:cs="Times New Roman"/>
      <w:sz w:val="24"/>
      <w:szCs w:val="24"/>
      <w:lang w:val="es-PE" w:eastAsia="es-PE"/>
    </w:rPr>
  </w:style>
  <w:style w:type="paragraph" w:customStyle="1" w:styleId="Default">
    <w:name w:val="Default"/>
    <w:rsid w:val="00BE126A"/>
    <w:pPr>
      <w:autoSpaceDE w:val="0"/>
      <w:autoSpaceDN w:val="0"/>
      <w:adjustRightInd w:val="0"/>
    </w:pPr>
    <w:rPr>
      <w:rFonts w:ascii="Calibri" w:hAnsi="Calibri" w:cs="Calibri"/>
      <w:color w:val="000000"/>
    </w:rPr>
  </w:style>
  <w:style w:type="character" w:customStyle="1" w:styleId="SinespaciadoCar">
    <w:name w:val="Sin espaciado Car"/>
    <w:basedOn w:val="Fuentedeprrafopredeter"/>
    <w:link w:val="Sinespaciado"/>
    <w:uiPriority w:val="1"/>
    <w:locked/>
    <w:rsid w:val="00BE126A"/>
    <w:rPr>
      <w:rFonts w:ascii="Times New Roman" w:eastAsiaTheme="minorEastAsia" w:hAnsi="Times New Roman" w:cs="Times New Roman"/>
      <w:lang w:eastAsia="es-PE"/>
    </w:rPr>
  </w:style>
  <w:style w:type="paragraph" w:styleId="Sinespaciado">
    <w:name w:val="No Spacing"/>
    <w:link w:val="SinespaciadoCar"/>
    <w:uiPriority w:val="1"/>
    <w:qFormat/>
    <w:rsid w:val="00BE126A"/>
    <w:rPr>
      <w:rFonts w:eastAsiaTheme="minorEastAsia"/>
    </w:rPr>
  </w:style>
  <w:style w:type="paragraph" w:styleId="Encabezado">
    <w:name w:val="header"/>
    <w:basedOn w:val="Normal"/>
    <w:link w:val="EncabezadoCar"/>
    <w:uiPriority w:val="99"/>
    <w:unhideWhenUsed/>
    <w:rsid w:val="00BE126A"/>
    <w:pPr>
      <w:tabs>
        <w:tab w:val="center" w:pos="4252"/>
        <w:tab w:val="right" w:pos="8504"/>
      </w:tabs>
    </w:pPr>
  </w:style>
  <w:style w:type="character" w:customStyle="1" w:styleId="EncabezadoCar">
    <w:name w:val="Encabezado Car"/>
    <w:basedOn w:val="Fuentedeprrafopredeter"/>
    <w:link w:val="Encabezado"/>
    <w:uiPriority w:val="99"/>
    <w:rsid w:val="00BE126A"/>
    <w:rPr>
      <w:rFonts w:ascii="Times New Roman" w:eastAsia="Times New Roman" w:hAnsi="Times New Roman" w:cs="Times New Roman"/>
      <w:sz w:val="24"/>
      <w:szCs w:val="24"/>
      <w:lang w:val="es-PE" w:eastAsia="es-PE"/>
    </w:rPr>
  </w:style>
  <w:style w:type="paragraph" w:styleId="Piedepgina">
    <w:name w:val="footer"/>
    <w:basedOn w:val="Normal"/>
    <w:link w:val="PiedepginaCar"/>
    <w:uiPriority w:val="99"/>
    <w:unhideWhenUsed/>
    <w:rsid w:val="00BE126A"/>
    <w:pPr>
      <w:tabs>
        <w:tab w:val="center" w:pos="4252"/>
        <w:tab w:val="right" w:pos="8504"/>
      </w:tabs>
    </w:pPr>
  </w:style>
  <w:style w:type="character" w:customStyle="1" w:styleId="PiedepginaCar">
    <w:name w:val="Pie de página Car"/>
    <w:basedOn w:val="Fuentedeprrafopredeter"/>
    <w:link w:val="Piedepgina"/>
    <w:uiPriority w:val="99"/>
    <w:rsid w:val="00BE126A"/>
    <w:rPr>
      <w:rFonts w:ascii="Times New Roman" w:eastAsia="Times New Roman" w:hAnsi="Times New Roman" w:cs="Times New Roman"/>
      <w:sz w:val="24"/>
      <w:szCs w:val="24"/>
      <w:lang w:val="es-PE" w:eastAsia="es-PE"/>
    </w:rPr>
  </w:style>
  <w:style w:type="paragraph" w:styleId="Textonotapie">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TextonotapieCar"/>
    <w:uiPriority w:val="99"/>
    <w:unhideWhenUsed/>
    <w:rsid w:val="00BE126A"/>
    <w:rPr>
      <w:rFonts w:ascii="Calibri" w:eastAsia="MS Mincho" w:hAnsi="Calibri"/>
      <w:sz w:val="18"/>
      <w:lang w:val="en-US" w:eastAsia="ja-JP"/>
    </w:rPr>
  </w:style>
  <w:style w:type="character" w:customStyle="1" w:styleId="TextonotapieCar">
    <w:name w:val="Texto nota pie Car"/>
    <w:aliases w:val="Footnote Text Char Char Char Car,Footnote Text Char Char Char Char Char Char Char Car,Footnote Text Char Char Char Char Char Car,Footnote Text Char Char Char Char Char Char Car,Footnote Text Char Char Char Char Ch Char Car,f Car"/>
    <w:basedOn w:val="Fuentedeprrafopredeter"/>
    <w:link w:val="Textonotapie"/>
    <w:uiPriority w:val="99"/>
    <w:rsid w:val="00BE126A"/>
    <w:rPr>
      <w:rFonts w:ascii="Calibri" w:eastAsia="MS Mincho" w:hAnsi="Calibri" w:cs="Times New Roman"/>
      <w:sz w:val="18"/>
      <w:szCs w:val="24"/>
      <w:lang w:eastAsia="ja-JP"/>
    </w:rPr>
  </w:style>
  <w:style w:type="character" w:styleId="Refdenotaalpie">
    <w:name w:val="footnote reference"/>
    <w:aliases w:val="16 Point,Superscript 6 Point,CVR Ref. de nota al pie"/>
    <w:uiPriority w:val="99"/>
    <w:unhideWhenUsed/>
    <w:rsid w:val="00BE126A"/>
    <w:rPr>
      <w:rFonts w:ascii="Calibri" w:hAnsi="Calibri"/>
      <w:sz w:val="18"/>
      <w:vertAlign w:val="superscript"/>
    </w:rPr>
  </w:style>
  <w:style w:type="paragraph" w:styleId="HTMLconformatoprevio">
    <w:name w:val="HTML Preformatted"/>
    <w:basedOn w:val="Normal"/>
    <w:link w:val="HTMLconformatoprevioCar"/>
    <w:uiPriority w:val="99"/>
    <w:unhideWhenUsed/>
    <w:rsid w:val="00BE1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E126A"/>
    <w:rPr>
      <w:rFonts w:ascii="Courier New" w:eastAsia="Times New Roman" w:hAnsi="Courier New" w:cs="Courier New"/>
      <w:sz w:val="20"/>
      <w:szCs w:val="20"/>
      <w:lang w:val="es-PE" w:eastAsia="es-PE"/>
    </w:rPr>
  </w:style>
  <w:style w:type="character" w:styleId="Textoennegrita">
    <w:name w:val="Strong"/>
    <w:basedOn w:val="Fuentedeprrafopredeter"/>
    <w:uiPriority w:val="22"/>
    <w:qFormat/>
    <w:rsid w:val="00BE126A"/>
    <w:rPr>
      <w:b/>
      <w:bCs/>
    </w:rPr>
  </w:style>
  <w:style w:type="character" w:customStyle="1" w:styleId="TextonotaalfinalCar">
    <w:name w:val="Texto nota al final Car"/>
    <w:basedOn w:val="Fuentedeprrafopredeter"/>
    <w:link w:val="Textonotaalfinal"/>
    <w:uiPriority w:val="99"/>
    <w:semiHidden/>
    <w:rsid w:val="00BE126A"/>
    <w:rPr>
      <w:rFonts w:ascii="Times New Roman" w:eastAsia="Times New Roman" w:hAnsi="Times New Roman" w:cs="Times New Roman"/>
      <w:sz w:val="20"/>
      <w:szCs w:val="20"/>
      <w:lang w:val="es-PE" w:eastAsia="es-PE"/>
    </w:rPr>
  </w:style>
  <w:style w:type="paragraph" w:styleId="Textonotaalfinal">
    <w:name w:val="endnote text"/>
    <w:basedOn w:val="Normal"/>
    <w:link w:val="TextonotaalfinalCar"/>
    <w:uiPriority w:val="99"/>
    <w:semiHidden/>
    <w:unhideWhenUsed/>
    <w:rsid w:val="00BE126A"/>
    <w:rPr>
      <w:sz w:val="20"/>
      <w:szCs w:val="20"/>
    </w:rPr>
  </w:style>
  <w:style w:type="character" w:customStyle="1" w:styleId="fsb">
    <w:name w:val="fsb"/>
    <w:basedOn w:val="Fuentedeprrafopredeter"/>
    <w:rsid w:val="00BE126A"/>
  </w:style>
  <w:style w:type="character" w:customStyle="1" w:styleId="a">
    <w:name w:val="_"/>
    <w:basedOn w:val="Fuentedeprrafopredeter"/>
    <w:rsid w:val="00BE126A"/>
  </w:style>
  <w:style w:type="character" w:customStyle="1" w:styleId="ls1">
    <w:name w:val="ls1"/>
    <w:basedOn w:val="Fuentedeprrafopredeter"/>
    <w:rsid w:val="00BE126A"/>
  </w:style>
  <w:style w:type="paragraph" w:styleId="NormalWeb">
    <w:name w:val="Normal (Web)"/>
    <w:basedOn w:val="Normal"/>
    <w:uiPriority w:val="99"/>
    <w:unhideWhenUsed/>
    <w:rsid w:val="00BE126A"/>
    <w:pPr>
      <w:spacing w:before="100" w:beforeAutospacing="1" w:after="100" w:afterAutospacing="1"/>
    </w:pPr>
  </w:style>
  <w:style w:type="character" w:styleId="nfasis">
    <w:name w:val="Emphasis"/>
    <w:basedOn w:val="Fuentedeprrafopredeter"/>
    <w:uiPriority w:val="20"/>
    <w:qFormat/>
    <w:rsid w:val="00BE126A"/>
    <w:rPr>
      <w:i/>
      <w:iCs/>
    </w:rPr>
  </w:style>
  <w:style w:type="character" w:customStyle="1" w:styleId="ls0">
    <w:name w:val="ls0"/>
    <w:basedOn w:val="Fuentedeprrafopredeter"/>
    <w:rsid w:val="00BE126A"/>
  </w:style>
  <w:style w:type="paragraph" w:styleId="Textodeglobo">
    <w:name w:val="Balloon Text"/>
    <w:basedOn w:val="Normal"/>
    <w:link w:val="TextodegloboCar"/>
    <w:uiPriority w:val="99"/>
    <w:semiHidden/>
    <w:unhideWhenUsed/>
    <w:rsid w:val="00422D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2D73"/>
    <w:rPr>
      <w:rFonts w:ascii="Segoe UI" w:eastAsia="Times New Roman" w:hAnsi="Segoe UI" w:cs="Segoe UI"/>
      <w:sz w:val="18"/>
      <w:szCs w:val="18"/>
      <w:lang w:val="es-PE" w:eastAsia="es-PE"/>
    </w:rPr>
  </w:style>
  <w:style w:type="table" w:styleId="Tablaconcuadrcula">
    <w:name w:val="Table Grid"/>
    <w:basedOn w:val="Tablanormal"/>
    <w:uiPriority w:val="39"/>
    <w:rsid w:val="00AD7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5B6F9F"/>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41200A"/>
    <w:rPr>
      <w:b/>
      <w:bCs/>
    </w:rPr>
  </w:style>
  <w:style w:type="character" w:customStyle="1" w:styleId="AsuntodelcomentarioCar">
    <w:name w:val="Asunto del comentario Car"/>
    <w:basedOn w:val="TextocomentarioCar"/>
    <w:link w:val="Asuntodelcomentario"/>
    <w:uiPriority w:val="99"/>
    <w:semiHidden/>
    <w:rsid w:val="0041200A"/>
    <w:rPr>
      <w:b/>
      <w:bCs/>
      <w:sz w:val="20"/>
      <w:szCs w:val="20"/>
    </w:rPr>
  </w:style>
  <w:style w:type="character" w:styleId="Hipervnculo">
    <w:name w:val="Hyperlink"/>
    <w:basedOn w:val="Fuentedeprrafopredeter"/>
    <w:uiPriority w:val="99"/>
    <w:semiHidden/>
    <w:unhideWhenUsed/>
    <w:rsid w:val="004722E2"/>
    <w:rPr>
      <w:color w:val="0000FF"/>
      <w:u w:val="single"/>
    </w:rPr>
  </w:style>
  <w:style w:type="paragraph" w:styleId="Citadestacada">
    <w:name w:val="Intense Quote"/>
    <w:basedOn w:val="Normal"/>
    <w:next w:val="Normal"/>
    <w:link w:val="CitadestacadaCar"/>
    <w:uiPriority w:val="30"/>
    <w:qFormat/>
    <w:rsid w:val="004315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431560"/>
    <w:rPr>
      <w:i/>
      <w:iCs/>
      <w:color w:val="4472C4" w:themeColor="accent1"/>
    </w:r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400645">
      <w:bodyDiv w:val="1"/>
      <w:marLeft w:val="0"/>
      <w:marRight w:val="0"/>
      <w:marTop w:val="0"/>
      <w:marBottom w:val="0"/>
      <w:divBdr>
        <w:top w:val="none" w:sz="0" w:space="0" w:color="auto"/>
        <w:left w:val="none" w:sz="0" w:space="0" w:color="auto"/>
        <w:bottom w:val="none" w:sz="0" w:space="0" w:color="auto"/>
        <w:right w:val="none" w:sz="0" w:space="0" w:color="auto"/>
      </w:divBdr>
    </w:div>
    <w:div w:id="1519393478">
      <w:bodyDiv w:val="1"/>
      <w:marLeft w:val="0"/>
      <w:marRight w:val="0"/>
      <w:marTop w:val="0"/>
      <w:marBottom w:val="0"/>
      <w:divBdr>
        <w:top w:val="none" w:sz="0" w:space="0" w:color="auto"/>
        <w:left w:val="none" w:sz="0" w:space="0" w:color="auto"/>
        <w:bottom w:val="none" w:sz="0" w:space="0" w:color="auto"/>
        <w:right w:val="none" w:sz="0" w:space="0" w:color="auto"/>
      </w:divBdr>
    </w:div>
    <w:div w:id="1849326891">
      <w:bodyDiv w:val="1"/>
      <w:marLeft w:val="0"/>
      <w:marRight w:val="0"/>
      <w:marTop w:val="0"/>
      <w:marBottom w:val="0"/>
      <w:divBdr>
        <w:top w:val="none" w:sz="0" w:space="0" w:color="auto"/>
        <w:left w:val="none" w:sz="0" w:space="0" w:color="auto"/>
        <w:bottom w:val="none" w:sz="0" w:space="0" w:color="auto"/>
        <w:right w:val="none" w:sz="0" w:space="0" w:color="auto"/>
      </w:divBdr>
      <w:divsChild>
        <w:div w:id="1102265017">
          <w:marLeft w:val="0"/>
          <w:marRight w:val="0"/>
          <w:marTop w:val="90"/>
          <w:marBottom w:val="0"/>
          <w:divBdr>
            <w:top w:val="none" w:sz="0" w:space="0" w:color="auto"/>
            <w:left w:val="none" w:sz="0" w:space="0" w:color="auto"/>
            <w:bottom w:val="none" w:sz="0" w:space="0" w:color="auto"/>
            <w:right w:val="none" w:sz="0" w:space="0" w:color="auto"/>
          </w:divBdr>
          <w:divsChild>
            <w:div w:id="246312372">
              <w:marLeft w:val="0"/>
              <w:marRight w:val="0"/>
              <w:marTop w:val="0"/>
              <w:marBottom w:val="420"/>
              <w:divBdr>
                <w:top w:val="none" w:sz="0" w:space="0" w:color="auto"/>
                <w:left w:val="none" w:sz="0" w:space="0" w:color="auto"/>
                <w:bottom w:val="none" w:sz="0" w:space="0" w:color="auto"/>
                <w:right w:val="none" w:sz="0" w:space="0" w:color="auto"/>
              </w:divBdr>
              <w:divsChild>
                <w:div w:id="431166089">
                  <w:marLeft w:val="0"/>
                  <w:marRight w:val="0"/>
                  <w:marTop w:val="0"/>
                  <w:marBottom w:val="0"/>
                  <w:divBdr>
                    <w:top w:val="none" w:sz="0" w:space="0" w:color="auto"/>
                    <w:left w:val="none" w:sz="0" w:space="0" w:color="auto"/>
                    <w:bottom w:val="none" w:sz="0" w:space="0" w:color="auto"/>
                    <w:right w:val="none" w:sz="0" w:space="0" w:color="auto"/>
                  </w:divBdr>
                  <w:divsChild>
                    <w:div w:id="18896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image" Target="media/image23.png"/><Relationship Id="rId21" Type="http://schemas.openxmlformats.org/officeDocument/2006/relationships/chart" Target="charts/chart2.xml"/><Relationship Id="rId34" Type="http://schemas.openxmlformats.org/officeDocument/2006/relationships/image" Target="media/image18.png"/><Relationship Id="rId42" Type="http://schemas.openxmlformats.org/officeDocument/2006/relationships/footer" Target="footer1.xml"/><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chart" Target="charts/chart1.xml"/><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www.minam.gob.pe/wp-content/uploads/2013/08/Pol%C3%ADtica-Nacional-del-Ambiente.pdf" TargetMode="External"/><Relationship Id="rId3" Type="http://schemas.openxmlformats.org/officeDocument/2006/relationships/hyperlink" Target="https://doi.org/10.4060/ca8642es" TargetMode="External"/><Relationship Id="rId7" Type="http://schemas.openxmlformats.org/officeDocument/2006/relationships/hyperlink" Target="http://www.elperuano.pe/noticia-cinco-ejes-guiaran-politica-del-gobierno-al-bicentenario-66623.aspx" TargetMode="External"/><Relationship Id="rId2" Type="http://schemas.openxmlformats.org/officeDocument/2006/relationships/hyperlink" Target="http://www.bosques.gob.pe/archivo/ff3f54_ESTRATEGIACAMBIOCLIMATICO2016_ok.pdf" TargetMode="External"/><Relationship Id="rId1" Type="http://schemas.openxmlformats.org/officeDocument/2006/relationships/hyperlink" Target="https://doi.org/10.4060/ca8642es" TargetMode="External"/><Relationship Id="rId6" Type="http://schemas.openxmlformats.org/officeDocument/2006/relationships/hyperlink" Target="https://sgp.pcm.gob.pe/politica-nacional-de-modernizacion-de-la-gestion-publica-al-2021/" TargetMode="External"/><Relationship Id="rId5" Type="http://schemas.openxmlformats.org/officeDocument/2006/relationships/hyperlink" Target="http://www.revistaandinacbc.com/wp-content/uploads/2016/ra29/ra-29-1997-02.pdf" TargetMode="External"/><Relationship Id="rId4" Type="http://schemas.openxmlformats.org/officeDocument/2006/relationships/hyperlink" Target="https://www.unenvironment.org/es/noticias-y-reportajes/comunicado-de-prensa/la-naturaleza-esta-en-un-declive-peligroso-y-sin" TargetMode="External"/><Relationship Id="rId9" Type="http://schemas.openxmlformats.org/officeDocument/2006/relationships/hyperlink" Target="http://minagri.gob.pe/portal/download/pdf/p-agraria/politica-nacional-agraria.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001%20-%20A%20HCO\001%20-AAAA%20VANCES%20DE%20LA%20PROPUESTA...&#161;&#161;&#161;\Heyder\PRONOSTICO%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001%20-%20A%20HCO\001-%20Avance%20de%20la%20ESTRATEGIA\01-%20TEORIAS%20DE%20CAMBIO\TOC%20-%20DIANA\AVANCES\PRONOSTICOS%20DE%20DEFORESTACI&#211;N%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001%20-%20A%20HCO\001-%20Avance%20de%20la%20ESTRATEGIA\01-%20TEORIAS%20DE%20CAMBIO\TOC%20-%20DIANA\AVANCES\PROCESO%20DE%20DEFORESTACI&#211;N%20-%20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001%20-%20A%20HCO\001-%20Avance%20de%20la%20ESTRATEGIA\01-%20TEORIAS%20DE%20CAMBIO\TOC%20-%20DIANA\AVANCES\PRONOSTICOS%20DE%20DEFORESTACI&#211;N%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001%20-%20A%20HCO\001-%20Avance%20de%20la%20ESTRATEGIA\01-%20TEORIAS%20DE%20CAMBIO\TOC%20-%20DIANA\AVANCES\Bosque_y_perdida_de_bosques_por_Distrito_al_2018%20-%20HUANUC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001%20-%20A%20HCO\CIMA\0001%20-%20DIAGNOSTICO\CULTIVOS%20HCO.....%200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001%20-%20A%20HCO\001-%20Avance%20de%20la%20ESTRATEGIA\01-%20TEORIAS%20DE%20CAMBIO\TOC%20-%20DIANA\AVANCES\PROCESO%20DE%20DEFORESTACI&#211;N%20-%20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001%20-%20A%20HCO\001-%20Avance%20de%20la%20ESTRATEGIA\01-%20TEORIAS%20DE%20CAMBIO\TOC%20-%20DIANA\AVANCES\PROCESO%20DE%20DEFORESTACI&#211;N%20-%20OK..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6183435678255"/>
          <c:y val="3.7209302325581395E-2"/>
          <c:w val="0.86207842904867371"/>
          <c:h val="0.81892547152536166"/>
        </c:manualLayout>
      </c:layout>
      <c:scatterChart>
        <c:scatterStyle val="lineMarker"/>
        <c:varyColors val="0"/>
        <c:ser>
          <c:idx val="0"/>
          <c:order val="0"/>
          <c:tx>
            <c:strRef>
              <c:f>'PÉRDIDA DE BOSQUE NACIONAL'!$C$3</c:f>
              <c:strCache>
                <c:ptCount val="1"/>
                <c:pt idx="0">
                  <c:v>PÉRDIDA DE BOSQUE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'PÉRDIDA DE BOSQUE NACIONAL'!$B$4:$B$33</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xVal>
          <c:yVal>
            <c:numRef>
              <c:f>'PÉRDIDA DE BOSQUE NACIONAL'!$C$4:$C$33</c:f>
              <c:numCache>
                <c:formatCode>_ * #,##0_ ;_ * \-#,##0_ ;_ * "-"??_ ;_ @_ </c:formatCode>
                <c:ptCount val="30"/>
                <c:pt idx="0">
                  <c:v>83994.66</c:v>
                </c:pt>
                <c:pt idx="1">
                  <c:v>79830.45</c:v>
                </c:pt>
                <c:pt idx="2">
                  <c:v>72872.37</c:v>
                </c:pt>
                <c:pt idx="3">
                  <c:v>93144.33</c:v>
                </c:pt>
                <c:pt idx="4">
                  <c:v>147621.32999999999</c:v>
                </c:pt>
                <c:pt idx="5">
                  <c:v>74498.760000000009</c:v>
                </c:pt>
                <c:pt idx="6">
                  <c:v>106184.61</c:v>
                </c:pt>
                <c:pt idx="7">
                  <c:v>105701.94</c:v>
                </c:pt>
                <c:pt idx="8">
                  <c:v>152158.41000000003</c:v>
                </c:pt>
                <c:pt idx="9">
                  <c:v>136201.05000000002</c:v>
                </c:pt>
                <c:pt idx="10">
                  <c:v>123561.54000000001</c:v>
                </c:pt>
                <c:pt idx="11">
                  <c:v>149469.93000000002</c:v>
                </c:pt>
                <c:pt idx="12">
                  <c:v>150279.39000000001</c:v>
                </c:pt>
                <c:pt idx="13">
                  <c:v>177566.04</c:v>
                </c:pt>
                <c:pt idx="14">
                  <c:v>156461.85</c:v>
                </c:pt>
                <c:pt idx="15">
                  <c:v>164661.93</c:v>
                </c:pt>
                <c:pt idx="16">
                  <c:v>155914.20000000001</c:v>
                </c:pt>
                <c:pt idx="17">
                  <c:v>178101.80007352866</c:v>
                </c:pt>
                <c:pt idx="18">
                  <c:v>183968.51779411733</c:v>
                </c:pt>
                <c:pt idx="19">
                  <c:v>189835.235514706</c:v>
                </c:pt>
                <c:pt idx="20">
                  <c:v>195701.95323529467</c:v>
                </c:pt>
                <c:pt idx="21">
                  <c:v>201568.67095588148</c:v>
                </c:pt>
                <c:pt idx="22">
                  <c:v>207435.38867647015</c:v>
                </c:pt>
                <c:pt idx="23">
                  <c:v>213302.10639705881</c:v>
                </c:pt>
                <c:pt idx="24">
                  <c:v>219168.82411764748</c:v>
                </c:pt>
                <c:pt idx="25">
                  <c:v>225035.54183823615</c:v>
                </c:pt>
                <c:pt idx="26">
                  <c:v>230902.25955882296</c:v>
                </c:pt>
                <c:pt idx="27">
                  <c:v>236768.97727941163</c:v>
                </c:pt>
                <c:pt idx="28">
                  <c:v>242635.6950000003</c:v>
                </c:pt>
                <c:pt idx="29">
                  <c:v>248502.4127205871</c:v>
                </c:pt>
              </c:numCache>
            </c:numRef>
          </c:yVal>
          <c:smooth val="0"/>
          <c:extLst>
            <c:ext xmlns:c16="http://schemas.microsoft.com/office/drawing/2014/chart" uri="{C3380CC4-5D6E-409C-BE32-E72D297353CC}">
              <c16:uniqueId val="{00000000-24B6-4DE5-95C6-45804803AC90}"/>
            </c:ext>
          </c:extLst>
        </c:ser>
        <c:dLbls>
          <c:showLegendKey val="0"/>
          <c:showVal val="0"/>
          <c:showCatName val="0"/>
          <c:showSerName val="0"/>
          <c:showPercent val="0"/>
          <c:showBubbleSize val="0"/>
        </c:dLbls>
        <c:axId val="-969667840"/>
        <c:axId val="-969670560"/>
      </c:scatterChart>
      <c:valAx>
        <c:axId val="-969667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9670560"/>
        <c:crosses val="autoZero"/>
        <c:crossBetween val="midCat"/>
      </c:valAx>
      <c:valAx>
        <c:axId val="-96967056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966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'Deforestación Hco.'!$E$49</c:f>
              <c:strCache>
                <c:ptCount val="1"/>
                <c:pt idx="0">
                  <c:v>HAS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'Deforestación Hco.'!$G$48:$W$48</c:f>
              <c:numCache>
                <c:formatCode>_ * #,##0_ ;_ * \-#,##0_ ;_ * "-"??_ ;_ @_ </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'Deforestación Hco.'!$F$49:$W$49</c:f>
              <c:numCache>
                <c:formatCode>_ * #,##0_ ;_ * \-#,##0_ ;_ * "-"??_ ;_ @_ </c:formatCode>
                <c:ptCount val="18"/>
                <c:pt idx="0">
                  <c:v>10874.16</c:v>
                </c:pt>
                <c:pt idx="1">
                  <c:v>10286.730000000001</c:v>
                </c:pt>
                <c:pt idx="2">
                  <c:v>14127.840000000002</c:v>
                </c:pt>
                <c:pt idx="3">
                  <c:v>9110.34</c:v>
                </c:pt>
                <c:pt idx="4">
                  <c:v>26405.73</c:v>
                </c:pt>
                <c:pt idx="5">
                  <c:v>8699.85</c:v>
                </c:pt>
                <c:pt idx="6">
                  <c:v>11671.56</c:v>
                </c:pt>
                <c:pt idx="7">
                  <c:v>17127.54</c:v>
                </c:pt>
                <c:pt idx="8">
                  <c:v>24991.38</c:v>
                </c:pt>
                <c:pt idx="9">
                  <c:v>17904.419999999998</c:v>
                </c:pt>
                <c:pt idx="10">
                  <c:v>19174.41</c:v>
                </c:pt>
                <c:pt idx="11">
                  <c:v>23254.74</c:v>
                </c:pt>
                <c:pt idx="12">
                  <c:v>20794.68</c:v>
                </c:pt>
                <c:pt idx="13">
                  <c:v>27595.53</c:v>
                </c:pt>
                <c:pt idx="14">
                  <c:v>22911.57</c:v>
                </c:pt>
                <c:pt idx="15">
                  <c:v>18197.91</c:v>
                </c:pt>
                <c:pt idx="16">
                  <c:v>19235.879999999997</c:v>
                </c:pt>
                <c:pt idx="17">
                  <c:v>16559.73</c:v>
                </c:pt>
              </c:numCache>
            </c:numRef>
          </c:val>
          <c:smooth val="0"/>
          <c:extLst>
            <c:ext xmlns:c16="http://schemas.microsoft.com/office/drawing/2014/chart" uri="{C3380CC4-5D6E-409C-BE32-E72D297353CC}">
              <c16:uniqueId val="{00000002-F75B-4F2C-B0C3-3DAC8D2456CB}"/>
            </c:ext>
          </c:extLst>
        </c:ser>
        <c:dLbls>
          <c:showLegendKey val="0"/>
          <c:showVal val="0"/>
          <c:showCatName val="0"/>
          <c:showSerName val="0"/>
          <c:showPercent val="0"/>
          <c:showBubbleSize val="0"/>
        </c:dLbls>
        <c:smooth val="0"/>
        <c:axId val="-969685792"/>
        <c:axId val="-969683616"/>
      </c:lineChart>
      <c:catAx>
        <c:axId val="-969685792"/>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PE"/>
          </a:p>
        </c:txPr>
        <c:crossAx val="-969683616"/>
        <c:crosses val="autoZero"/>
        <c:auto val="1"/>
        <c:lblAlgn val="ctr"/>
        <c:lblOffset val="100"/>
        <c:noMultiLvlLbl val="0"/>
      </c:catAx>
      <c:valAx>
        <c:axId val="-969683616"/>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968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9286552506477"/>
          <c:y val="5.8823529411764705E-2"/>
          <c:w val="0.85439117889340399"/>
          <c:h val="0.6231706598172555"/>
        </c:manualLayout>
      </c:layout>
      <c:lineChart>
        <c:grouping val="standard"/>
        <c:varyColors val="0"/>
        <c:ser>
          <c:idx val="0"/>
          <c:order val="0"/>
          <c:tx>
            <c:strRef>
              <c:f>Hoja1!$B$3</c:f>
              <c:strCache>
                <c:ptCount val="1"/>
                <c:pt idx="0">
                  <c:v>BPP</c:v>
                </c:pt>
              </c:strCache>
            </c:strRef>
          </c:tx>
          <c:spPr>
            <a:ln w="28575" cap="rnd">
              <a:solidFill>
                <a:schemeClr val="accent1"/>
              </a:solidFill>
              <a:round/>
            </a:ln>
            <a:effectLst/>
          </c:spPr>
          <c:marker>
            <c:symbol val="none"/>
          </c:marker>
          <c:cat>
            <c:strRef>
              <c:f>Hoja1!$C$2:$F$2</c:f>
              <c:strCache>
                <c:ptCount val="4"/>
                <c:pt idx="0">
                  <c:v>2001 - 2004</c:v>
                </c:pt>
                <c:pt idx="1">
                  <c:v>2005 - 2008</c:v>
                </c:pt>
                <c:pt idx="2">
                  <c:v>2009 - 2012</c:v>
                </c:pt>
                <c:pt idx="3">
                  <c:v>2013 - 2018</c:v>
                </c:pt>
              </c:strCache>
            </c:strRef>
          </c:cat>
          <c:val>
            <c:numRef>
              <c:f>Hoja1!$C$3:$F$3</c:f>
              <c:numCache>
                <c:formatCode>#,##0.00</c:formatCode>
                <c:ptCount val="4"/>
                <c:pt idx="0">
                  <c:v>9790.32</c:v>
                </c:pt>
                <c:pt idx="1">
                  <c:v>15182.779999999999</c:v>
                </c:pt>
                <c:pt idx="2">
                  <c:v>13167.18</c:v>
                </c:pt>
                <c:pt idx="3">
                  <c:v>33555.61</c:v>
                </c:pt>
              </c:numCache>
            </c:numRef>
          </c:val>
          <c:smooth val="0"/>
          <c:extLst>
            <c:ext xmlns:c16="http://schemas.microsoft.com/office/drawing/2014/chart" uri="{C3380CC4-5D6E-409C-BE32-E72D297353CC}">
              <c16:uniqueId val="{00000000-19DE-4F46-95AA-3F855B8B1A92}"/>
            </c:ext>
          </c:extLst>
        </c:ser>
        <c:ser>
          <c:idx val="1"/>
          <c:order val="1"/>
          <c:tx>
            <c:strRef>
              <c:f>Hoja1!$B$4</c:f>
              <c:strCache>
                <c:ptCount val="1"/>
                <c:pt idx="0">
                  <c:v>CC Forestales</c:v>
                </c:pt>
              </c:strCache>
            </c:strRef>
          </c:tx>
          <c:spPr>
            <a:ln w="28575" cap="rnd">
              <a:solidFill>
                <a:schemeClr val="accent2"/>
              </a:solidFill>
              <a:round/>
            </a:ln>
            <a:effectLst/>
          </c:spPr>
          <c:marker>
            <c:symbol val="none"/>
          </c:marker>
          <c:cat>
            <c:strRef>
              <c:f>Hoja1!$C$2:$F$2</c:f>
              <c:strCache>
                <c:ptCount val="4"/>
                <c:pt idx="0">
                  <c:v>2001 - 2004</c:v>
                </c:pt>
                <c:pt idx="1">
                  <c:v>2005 - 2008</c:v>
                </c:pt>
                <c:pt idx="2">
                  <c:v>2009 - 2012</c:v>
                </c:pt>
                <c:pt idx="3">
                  <c:v>2013 - 2018</c:v>
                </c:pt>
              </c:strCache>
            </c:strRef>
          </c:cat>
          <c:val>
            <c:numRef>
              <c:f>Hoja1!$C$4:$F$4</c:f>
              <c:numCache>
                <c:formatCode>#,##0.00</c:formatCode>
                <c:ptCount val="4"/>
                <c:pt idx="0">
                  <c:v>393.01000000000005</c:v>
                </c:pt>
                <c:pt idx="1">
                  <c:v>563.07999999999993</c:v>
                </c:pt>
                <c:pt idx="2">
                  <c:v>751.1099999999999</c:v>
                </c:pt>
                <c:pt idx="3">
                  <c:v>1190.52</c:v>
                </c:pt>
              </c:numCache>
            </c:numRef>
          </c:val>
          <c:smooth val="0"/>
          <c:extLst>
            <c:ext xmlns:c16="http://schemas.microsoft.com/office/drawing/2014/chart" uri="{C3380CC4-5D6E-409C-BE32-E72D297353CC}">
              <c16:uniqueId val="{00000001-19DE-4F46-95AA-3F855B8B1A92}"/>
            </c:ext>
          </c:extLst>
        </c:ser>
        <c:ser>
          <c:idx val="2"/>
          <c:order val="2"/>
          <c:tx>
            <c:strRef>
              <c:f>Hoja1!$B$5</c:f>
              <c:strCache>
                <c:ptCount val="1"/>
                <c:pt idx="0">
                  <c:v>CC.CC</c:v>
                </c:pt>
              </c:strCache>
            </c:strRef>
          </c:tx>
          <c:spPr>
            <a:ln w="28575" cap="rnd">
              <a:solidFill>
                <a:schemeClr val="accent3"/>
              </a:solidFill>
              <a:round/>
            </a:ln>
            <a:effectLst/>
          </c:spPr>
          <c:marker>
            <c:symbol val="none"/>
          </c:marker>
          <c:cat>
            <c:strRef>
              <c:f>Hoja1!$C$2:$F$2</c:f>
              <c:strCache>
                <c:ptCount val="4"/>
                <c:pt idx="0">
                  <c:v>2001 - 2004</c:v>
                </c:pt>
                <c:pt idx="1">
                  <c:v>2005 - 2008</c:v>
                </c:pt>
                <c:pt idx="2">
                  <c:v>2009 - 2012</c:v>
                </c:pt>
                <c:pt idx="3">
                  <c:v>2013 - 2018</c:v>
                </c:pt>
              </c:strCache>
            </c:strRef>
          </c:cat>
          <c:val>
            <c:numRef>
              <c:f>Hoja1!$C$5:$F$5</c:f>
              <c:numCache>
                <c:formatCode>#,##0.00</c:formatCode>
                <c:ptCount val="4"/>
                <c:pt idx="0">
                  <c:v>313.76000000000005</c:v>
                </c:pt>
                <c:pt idx="1">
                  <c:v>259.72000000000003</c:v>
                </c:pt>
                <c:pt idx="2">
                  <c:v>326.77999999999997</c:v>
                </c:pt>
                <c:pt idx="3">
                  <c:v>894.9699999999998</c:v>
                </c:pt>
              </c:numCache>
            </c:numRef>
          </c:val>
          <c:smooth val="0"/>
          <c:extLst>
            <c:ext xmlns:c16="http://schemas.microsoft.com/office/drawing/2014/chart" uri="{C3380CC4-5D6E-409C-BE32-E72D297353CC}">
              <c16:uniqueId val="{00000002-19DE-4F46-95AA-3F855B8B1A92}"/>
            </c:ext>
          </c:extLst>
        </c:ser>
        <c:ser>
          <c:idx val="3"/>
          <c:order val="3"/>
          <c:tx>
            <c:strRef>
              <c:f>Hoja1!$B$6</c:f>
              <c:strCache>
                <c:ptCount val="1"/>
                <c:pt idx="0">
                  <c:v>CCNN</c:v>
                </c:pt>
              </c:strCache>
            </c:strRef>
          </c:tx>
          <c:spPr>
            <a:ln w="28575" cap="rnd">
              <a:solidFill>
                <a:schemeClr val="accent4"/>
              </a:solidFill>
              <a:round/>
            </a:ln>
            <a:effectLst/>
          </c:spPr>
          <c:marker>
            <c:symbol val="none"/>
          </c:marker>
          <c:cat>
            <c:strRef>
              <c:f>Hoja1!$C$2:$F$2</c:f>
              <c:strCache>
                <c:ptCount val="4"/>
                <c:pt idx="0">
                  <c:v>2001 - 2004</c:v>
                </c:pt>
                <c:pt idx="1">
                  <c:v>2005 - 2008</c:v>
                </c:pt>
                <c:pt idx="2">
                  <c:v>2009 - 2012</c:v>
                </c:pt>
                <c:pt idx="3">
                  <c:v>2013 - 2018</c:v>
                </c:pt>
              </c:strCache>
            </c:strRef>
          </c:cat>
          <c:val>
            <c:numRef>
              <c:f>Hoja1!$C$6:$F$6</c:f>
              <c:numCache>
                <c:formatCode>#,##0.00</c:formatCode>
                <c:ptCount val="4"/>
                <c:pt idx="0">
                  <c:v>1684.65</c:v>
                </c:pt>
                <c:pt idx="1">
                  <c:v>2755.01</c:v>
                </c:pt>
                <c:pt idx="2">
                  <c:v>4217.0700000000006</c:v>
                </c:pt>
                <c:pt idx="3">
                  <c:v>12377.220000000001</c:v>
                </c:pt>
              </c:numCache>
            </c:numRef>
          </c:val>
          <c:smooth val="0"/>
          <c:extLst>
            <c:ext xmlns:c16="http://schemas.microsoft.com/office/drawing/2014/chart" uri="{C3380CC4-5D6E-409C-BE32-E72D297353CC}">
              <c16:uniqueId val="{00000003-19DE-4F46-95AA-3F855B8B1A92}"/>
            </c:ext>
          </c:extLst>
        </c:ser>
        <c:ser>
          <c:idx val="4"/>
          <c:order val="4"/>
          <c:tx>
            <c:strRef>
              <c:f>Hoja1!$B$7</c:f>
              <c:strCache>
                <c:ptCount val="1"/>
                <c:pt idx="0">
                  <c:v>Predios rurales</c:v>
                </c:pt>
              </c:strCache>
            </c:strRef>
          </c:tx>
          <c:spPr>
            <a:ln w="28575" cap="rnd">
              <a:solidFill>
                <a:schemeClr val="accent5"/>
              </a:solidFill>
              <a:round/>
            </a:ln>
            <a:effectLst/>
          </c:spPr>
          <c:marker>
            <c:symbol val="none"/>
          </c:marker>
          <c:cat>
            <c:strRef>
              <c:f>Hoja1!$C$2:$F$2</c:f>
              <c:strCache>
                <c:ptCount val="4"/>
                <c:pt idx="0">
                  <c:v>2001 - 2004</c:v>
                </c:pt>
                <c:pt idx="1">
                  <c:v>2005 - 2008</c:v>
                </c:pt>
                <c:pt idx="2">
                  <c:v>2009 - 2012</c:v>
                </c:pt>
                <c:pt idx="3">
                  <c:v>2013 - 2018</c:v>
                </c:pt>
              </c:strCache>
            </c:strRef>
          </c:cat>
          <c:val>
            <c:numRef>
              <c:f>Hoja1!$C$7:$F$7</c:f>
              <c:numCache>
                <c:formatCode>#,##0.00</c:formatCode>
                <c:ptCount val="4"/>
                <c:pt idx="0">
                  <c:v>8681.11</c:v>
                </c:pt>
                <c:pt idx="1">
                  <c:v>9959.73</c:v>
                </c:pt>
                <c:pt idx="2">
                  <c:v>12130.79</c:v>
                </c:pt>
                <c:pt idx="3">
                  <c:v>15817.43</c:v>
                </c:pt>
              </c:numCache>
            </c:numRef>
          </c:val>
          <c:smooth val="0"/>
          <c:extLst>
            <c:ext xmlns:c16="http://schemas.microsoft.com/office/drawing/2014/chart" uri="{C3380CC4-5D6E-409C-BE32-E72D297353CC}">
              <c16:uniqueId val="{00000004-19DE-4F46-95AA-3F855B8B1A92}"/>
            </c:ext>
          </c:extLst>
        </c:ser>
        <c:ser>
          <c:idx val="5"/>
          <c:order val="5"/>
          <c:tx>
            <c:strRef>
              <c:f>Hoja1!$B$8</c:f>
              <c:strCache>
                <c:ptCount val="1"/>
                <c:pt idx="0">
                  <c:v>ANPs</c:v>
                </c:pt>
              </c:strCache>
            </c:strRef>
          </c:tx>
          <c:spPr>
            <a:ln w="28575" cap="rnd">
              <a:solidFill>
                <a:schemeClr val="accent6"/>
              </a:solidFill>
              <a:round/>
            </a:ln>
            <a:effectLst/>
          </c:spPr>
          <c:marker>
            <c:symbol val="none"/>
          </c:marker>
          <c:cat>
            <c:strRef>
              <c:f>Hoja1!$C$2:$F$2</c:f>
              <c:strCache>
                <c:ptCount val="4"/>
                <c:pt idx="0">
                  <c:v>2001 - 2004</c:v>
                </c:pt>
                <c:pt idx="1">
                  <c:v>2005 - 2008</c:v>
                </c:pt>
                <c:pt idx="2">
                  <c:v>2009 - 2012</c:v>
                </c:pt>
                <c:pt idx="3">
                  <c:v>2013 - 2018</c:v>
                </c:pt>
              </c:strCache>
            </c:strRef>
          </c:cat>
          <c:val>
            <c:numRef>
              <c:f>Hoja1!$C$8:$F$8</c:f>
              <c:numCache>
                <c:formatCode>#,##0.00</c:formatCode>
                <c:ptCount val="4"/>
                <c:pt idx="0">
                  <c:v>280.89</c:v>
                </c:pt>
                <c:pt idx="1">
                  <c:v>357.38</c:v>
                </c:pt>
                <c:pt idx="2">
                  <c:v>598.19000000000005</c:v>
                </c:pt>
                <c:pt idx="3">
                  <c:v>960.54000000000008</c:v>
                </c:pt>
              </c:numCache>
            </c:numRef>
          </c:val>
          <c:smooth val="0"/>
          <c:extLst>
            <c:ext xmlns:c16="http://schemas.microsoft.com/office/drawing/2014/chart" uri="{C3380CC4-5D6E-409C-BE32-E72D297353CC}">
              <c16:uniqueId val="{00000005-19DE-4F46-95AA-3F855B8B1A92}"/>
            </c:ext>
          </c:extLst>
        </c:ser>
        <c:ser>
          <c:idx val="6"/>
          <c:order val="6"/>
          <c:tx>
            <c:strRef>
              <c:f>Hoja1!$B$9</c:f>
              <c:strCache>
                <c:ptCount val="1"/>
                <c:pt idx="0">
                  <c:v>CC Mineras</c:v>
                </c:pt>
              </c:strCache>
            </c:strRef>
          </c:tx>
          <c:spPr>
            <a:ln w="28575" cap="rnd">
              <a:solidFill>
                <a:schemeClr val="accent1">
                  <a:lumMod val="60000"/>
                </a:schemeClr>
              </a:solidFill>
              <a:round/>
            </a:ln>
            <a:effectLst/>
          </c:spPr>
          <c:marker>
            <c:symbol val="none"/>
          </c:marker>
          <c:cat>
            <c:strRef>
              <c:f>Hoja1!$C$2:$F$2</c:f>
              <c:strCache>
                <c:ptCount val="4"/>
                <c:pt idx="0">
                  <c:v>2001 - 2004</c:v>
                </c:pt>
                <c:pt idx="1">
                  <c:v>2005 - 2008</c:v>
                </c:pt>
                <c:pt idx="2">
                  <c:v>2009 - 2012</c:v>
                </c:pt>
                <c:pt idx="3">
                  <c:v>2013 - 2018</c:v>
                </c:pt>
              </c:strCache>
            </c:strRef>
          </c:cat>
          <c:val>
            <c:numRef>
              <c:f>Hoja1!$C$9:$F$9</c:f>
              <c:numCache>
                <c:formatCode>#,##0.00</c:formatCode>
                <c:ptCount val="4"/>
                <c:pt idx="0">
                  <c:v>606.47</c:v>
                </c:pt>
                <c:pt idx="1">
                  <c:v>719.68</c:v>
                </c:pt>
                <c:pt idx="2">
                  <c:v>876.37000000000012</c:v>
                </c:pt>
                <c:pt idx="3">
                  <c:v>1900.86</c:v>
                </c:pt>
              </c:numCache>
            </c:numRef>
          </c:val>
          <c:smooth val="0"/>
          <c:extLst>
            <c:ext xmlns:c16="http://schemas.microsoft.com/office/drawing/2014/chart" uri="{C3380CC4-5D6E-409C-BE32-E72D297353CC}">
              <c16:uniqueId val="{00000006-19DE-4F46-95AA-3F855B8B1A92}"/>
            </c:ext>
          </c:extLst>
        </c:ser>
        <c:ser>
          <c:idx val="7"/>
          <c:order val="7"/>
          <c:tx>
            <c:strRef>
              <c:f>Hoja1!$B$10</c:f>
              <c:strCache>
                <c:ptCount val="1"/>
                <c:pt idx="0">
                  <c:v>Libre disp. del Estado.</c:v>
                </c:pt>
              </c:strCache>
            </c:strRef>
          </c:tx>
          <c:spPr>
            <a:ln w="28575" cap="rnd">
              <a:solidFill>
                <a:schemeClr val="accent2">
                  <a:lumMod val="60000"/>
                </a:schemeClr>
              </a:solidFill>
              <a:round/>
            </a:ln>
            <a:effectLst/>
          </c:spPr>
          <c:marker>
            <c:symbol val="none"/>
          </c:marker>
          <c:cat>
            <c:strRef>
              <c:f>Hoja1!$C$2:$F$2</c:f>
              <c:strCache>
                <c:ptCount val="4"/>
                <c:pt idx="0">
                  <c:v>2001 - 2004</c:v>
                </c:pt>
                <c:pt idx="1">
                  <c:v>2005 - 2008</c:v>
                </c:pt>
                <c:pt idx="2">
                  <c:v>2009 - 2012</c:v>
                </c:pt>
                <c:pt idx="3">
                  <c:v>2013 - 2018</c:v>
                </c:pt>
              </c:strCache>
            </c:strRef>
          </c:cat>
          <c:val>
            <c:numRef>
              <c:f>Hoja1!$C$10:$F$10</c:f>
              <c:numCache>
                <c:formatCode>#,##0.00</c:formatCode>
                <c:ptCount val="4"/>
                <c:pt idx="0">
                  <c:v>22664.350000000006</c:v>
                </c:pt>
                <c:pt idx="1">
                  <c:v>34078.609999999993</c:v>
                </c:pt>
                <c:pt idx="2">
                  <c:v>45045.94</c:v>
                </c:pt>
                <c:pt idx="3">
                  <c:v>58741.25</c:v>
                </c:pt>
              </c:numCache>
            </c:numRef>
          </c:val>
          <c:smooth val="0"/>
          <c:extLst>
            <c:ext xmlns:c16="http://schemas.microsoft.com/office/drawing/2014/chart" uri="{C3380CC4-5D6E-409C-BE32-E72D297353CC}">
              <c16:uniqueId val="{00000007-19DE-4F46-95AA-3F855B8B1A92}"/>
            </c:ext>
          </c:extLst>
        </c:ser>
        <c:dLbls>
          <c:showLegendKey val="0"/>
          <c:showVal val="0"/>
          <c:showCatName val="0"/>
          <c:showSerName val="0"/>
          <c:showPercent val="0"/>
          <c:showBubbleSize val="0"/>
        </c:dLbls>
        <c:smooth val="0"/>
        <c:axId val="-969662400"/>
        <c:axId val="-969681440"/>
      </c:lineChart>
      <c:catAx>
        <c:axId val="-96966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969681440"/>
        <c:crosses val="autoZero"/>
        <c:auto val="1"/>
        <c:lblAlgn val="ctr"/>
        <c:lblOffset val="100"/>
        <c:noMultiLvlLbl val="0"/>
      </c:catAx>
      <c:valAx>
        <c:axId val="-969681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9662400"/>
        <c:crosses val="autoZero"/>
        <c:crossBetween val="between"/>
      </c:valAx>
      <c:spPr>
        <a:noFill/>
        <a:ln>
          <a:noFill/>
        </a:ln>
        <a:effectLst/>
      </c:spPr>
    </c:plotArea>
    <c:legend>
      <c:legendPos val="b"/>
      <c:layout>
        <c:manualLayout>
          <c:xMode val="edge"/>
          <c:yMode val="edge"/>
          <c:x val="0"/>
          <c:y val="0.78007831908711944"/>
          <c:w val="1"/>
          <c:h val="0.187836119415554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Hoja2!$B$7</c:f>
              <c:strCache>
                <c:ptCount val="1"/>
                <c:pt idx="0">
                  <c:v>CON LA ERDRBE</c:v>
                </c:pt>
              </c:strCache>
            </c:strRef>
          </c:tx>
          <c:spPr>
            <a:solidFill>
              <a:schemeClr val="accent1"/>
            </a:solidFill>
            <a:ln>
              <a:noFill/>
            </a:ln>
            <a:effectLst/>
          </c:spPr>
          <c:invertIfNegative val="0"/>
          <c:cat>
            <c:numRef>
              <c:f>Hoja2!$C$6:$AE$6</c:f>
              <c:numCache>
                <c:formatCode>General</c:formatCode>
                <c:ptCount val="2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Hoja2!$C$7:$AE$7</c:f>
              <c:numCache>
                <c:formatCode>0</c:formatCode>
                <c:ptCount val="29"/>
                <c:pt idx="0">
                  <c:v>10874.16</c:v>
                </c:pt>
                <c:pt idx="1">
                  <c:v>10286.730000000001</c:v>
                </c:pt>
                <c:pt idx="2">
                  <c:v>14127.840000000002</c:v>
                </c:pt>
                <c:pt idx="3">
                  <c:v>9110.34</c:v>
                </c:pt>
                <c:pt idx="4">
                  <c:v>26405.73</c:v>
                </c:pt>
                <c:pt idx="5">
                  <c:v>8699.85</c:v>
                </c:pt>
                <c:pt idx="6">
                  <c:v>11671.56</c:v>
                </c:pt>
                <c:pt idx="7">
                  <c:v>17127.54</c:v>
                </c:pt>
                <c:pt idx="8">
                  <c:v>24991.38</c:v>
                </c:pt>
                <c:pt idx="9">
                  <c:v>17904.419999999998</c:v>
                </c:pt>
                <c:pt idx="10">
                  <c:v>19174.41</c:v>
                </c:pt>
                <c:pt idx="11">
                  <c:v>23254.74</c:v>
                </c:pt>
                <c:pt idx="12">
                  <c:v>20794.68</c:v>
                </c:pt>
                <c:pt idx="13">
                  <c:v>27595.53</c:v>
                </c:pt>
                <c:pt idx="14">
                  <c:v>22911.57</c:v>
                </c:pt>
                <c:pt idx="15">
                  <c:v>18197.91</c:v>
                </c:pt>
                <c:pt idx="16">
                  <c:v>19235.879999999997</c:v>
                </c:pt>
                <c:pt idx="17">
                  <c:v>16560</c:v>
                </c:pt>
                <c:pt idx="18" formatCode="General">
                  <c:v>17700</c:v>
                </c:pt>
                <c:pt idx="19" formatCode="General">
                  <c:v>16000</c:v>
                </c:pt>
                <c:pt idx="20" formatCode="General">
                  <c:v>15000</c:v>
                </c:pt>
                <c:pt idx="21" formatCode="General">
                  <c:v>14500</c:v>
                </c:pt>
                <c:pt idx="22" formatCode="General">
                  <c:v>13500</c:v>
                </c:pt>
                <c:pt idx="23" formatCode="General">
                  <c:v>12200</c:v>
                </c:pt>
                <c:pt idx="24" formatCode="General">
                  <c:v>11000</c:v>
                </c:pt>
                <c:pt idx="25" formatCode="General">
                  <c:v>9500</c:v>
                </c:pt>
                <c:pt idx="26" formatCode="General">
                  <c:v>7300</c:v>
                </c:pt>
                <c:pt idx="27" formatCode="General">
                  <c:v>5000</c:v>
                </c:pt>
                <c:pt idx="28" formatCode="General">
                  <c:v>4180</c:v>
                </c:pt>
              </c:numCache>
            </c:numRef>
          </c:val>
          <c:extLst>
            <c:ext xmlns:c16="http://schemas.microsoft.com/office/drawing/2014/chart" uri="{C3380CC4-5D6E-409C-BE32-E72D297353CC}">
              <c16:uniqueId val="{00000000-CB8F-4448-8B36-EFE3FB16D160}"/>
            </c:ext>
          </c:extLst>
        </c:ser>
        <c:dLbls>
          <c:showLegendKey val="0"/>
          <c:showVal val="0"/>
          <c:showCatName val="0"/>
          <c:showSerName val="0"/>
          <c:showPercent val="0"/>
          <c:showBubbleSize val="0"/>
        </c:dLbls>
        <c:gapWidth val="150"/>
        <c:axId val="-1318025216"/>
        <c:axId val="-1318022496"/>
      </c:barChart>
      <c:lineChart>
        <c:grouping val="standard"/>
        <c:varyColors val="0"/>
        <c:ser>
          <c:idx val="1"/>
          <c:order val="1"/>
          <c:tx>
            <c:strRef>
              <c:f>Hoja2!$B$8</c:f>
              <c:strCache>
                <c:ptCount val="1"/>
                <c:pt idx="0">
                  <c:v>SIN LA ERDRBE</c:v>
                </c:pt>
              </c:strCache>
            </c:strRef>
          </c:tx>
          <c:spPr>
            <a:ln w="28575" cap="rnd">
              <a:solidFill>
                <a:schemeClr val="accent2"/>
              </a:solidFill>
              <a:round/>
            </a:ln>
            <a:effectLst/>
          </c:spPr>
          <c:marker>
            <c:symbol val="none"/>
          </c:marker>
          <c:cat>
            <c:numRef>
              <c:f>Hoja2!$C$6:$AE$6</c:f>
              <c:numCache>
                <c:formatCode>General</c:formatCode>
                <c:ptCount val="2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2020</c:v>
                </c:pt>
                <c:pt idx="19">
                  <c:v>2021</c:v>
                </c:pt>
                <c:pt idx="20">
                  <c:v>2022</c:v>
                </c:pt>
                <c:pt idx="21">
                  <c:v>2023</c:v>
                </c:pt>
                <c:pt idx="22">
                  <c:v>2024</c:v>
                </c:pt>
                <c:pt idx="23">
                  <c:v>2025</c:v>
                </c:pt>
                <c:pt idx="24">
                  <c:v>2026</c:v>
                </c:pt>
                <c:pt idx="25">
                  <c:v>2027</c:v>
                </c:pt>
                <c:pt idx="26">
                  <c:v>2028</c:v>
                </c:pt>
                <c:pt idx="27">
                  <c:v>2029</c:v>
                </c:pt>
                <c:pt idx="28">
                  <c:v>2030</c:v>
                </c:pt>
              </c:numCache>
            </c:numRef>
          </c:cat>
          <c:val>
            <c:numRef>
              <c:f>Hoja2!$C$8:$AE$8</c:f>
              <c:numCache>
                <c:formatCode>0</c:formatCode>
                <c:ptCount val="29"/>
                <c:pt idx="0">
                  <c:v>10874.16</c:v>
                </c:pt>
                <c:pt idx="1">
                  <c:v>10286.730000000001</c:v>
                </c:pt>
                <c:pt idx="2">
                  <c:v>14127.840000000002</c:v>
                </c:pt>
                <c:pt idx="3">
                  <c:v>9110.34</c:v>
                </c:pt>
                <c:pt idx="4">
                  <c:v>26405.73</c:v>
                </c:pt>
                <c:pt idx="5">
                  <c:v>8699.85</c:v>
                </c:pt>
                <c:pt idx="6">
                  <c:v>11671.56</c:v>
                </c:pt>
                <c:pt idx="7">
                  <c:v>17127.54</c:v>
                </c:pt>
                <c:pt idx="8">
                  <c:v>24991.38</c:v>
                </c:pt>
                <c:pt idx="9">
                  <c:v>17904.419999999998</c:v>
                </c:pt>
                <c:pt idx="10">
                  <c:v>19174.41</c:v>
                </c:pt>
                <c:pt idx="11">
                  <c:v>23254.74</c:v>
                </c:pt>
                <c:pt idx="12">
                  <c:v>20794.68</c:v>
                </c:pt>
                <c:pt idx="13">
                  <c:v>27595.53</c:v>
                </c:pt>
                <c:pt idx="14">
                  <c:v>22911.57</c:v>
                </c:pt>
                <c:pt idx="15">
                  <c:v>18197.91</c:v>
                </c:pt>
                <c:pt idx="16">
                  <c:v>19235.879999999997</c:v>
                </c:pt>
                <c:pt idx="17">
                  <c:v>16560</c:v>
                </c:pt>
                <c:pt idx="18" formatCode="General">
                  <c:v>25129.75347987609</c:v>
                </c:pt>
                <c:pt idx="19" formatCode="General">
                  <c:v>25812.66943034064</c:v>
                </c:pt>
                <c:pt idx="20" formatCode="General">
                  <c:v>26495.585380804958</c:v>
                </c:pt>
                <c:pt idx="21" formatCode="General">
                  <c:v>27178.501331269508</c:v>
                </c:pt>
                <c:pt idx="22" formatCode="General">
                  <c:v>27861.417281733826</c:v>
                </c:pt>
                <c:pt idx="23" formatCode="General">
                  <c:v>28544.333232198143</c:v>
                </c:pt>
                <c:pt idx="24" formatCode="General">
                  <c:v>29227.249182662461</c:v>
                </c:pt>
                <c:pt idx="25" formatCode="General">
                  <c:v>29910.165133127011</c:v>
                </c:pt>
                <c:pt idx="26" formatCode="General">
                  <c:v>30593.081083591329</c:v>
                </c:pt>
                <c:pt idx="27" formatCode="General">
                  <c:v>31275.997034055647</c:v>
                </c:pt>
                <c:pt idx="28" formatCode="General">
                  <c:v>31958.912984520197</c:v>
                </c:pt>
              </c:numCache>
            </c:numRef>
          </c:val>
          <c:smooth val="0"/>
          <c:extLst>
            <c:ext xmlns:c16="http://schemas.microsoft.com/office/drawing/2014/chart" uri="{C3380CC4-5D6E-409C-BE32-E72D297353CC}">
              <c16:uniqueId val="{00000001-CB8F-4448-8B36-EFE3FB16D160}"/>
            </c:ext>
          </c:extLst>
        </c:ser>
        <c:dLbls>
          <c:showLegendKey val="0"/>
          <c:showVal val="0"/>
          <c:showCatName val="0"/>
          <c:showSerName val="0"/>
          <c:showPercent val="0"/>
          <c:showBubbleSize val="0"/>
        </c:dLbls>
        <c:marker val="1"/>
        <c:smooth val="0"/>
        <c:axId val="-1318025216"/>
        <c:axId val="-1318022496"/>
      </c:lineChart>
      <c:catAx>
        <c:axId val="-13180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1318022496"/>
        <c:crosses val="autoZero"/>
        <c:auto val="1"/>
        <c:lblAlgn val="ctr"/>
        <c:lblOffset val="100"/>
        <c:noMultiLvlLbl val="0"/>
      </c:catAx>
      <c:valAx>
        <c:axId val="-131802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Provincia!$B$54</c:f>
              <c:strCache>
                <c:ptCount val="1"/>
                <c:pt idx="0">
                  <c:v> HUANUCO </c:v>
                </c:pt>
              </c:strCache>
            </c:strRef>
          </c:tx>
          <c:spPr>
            <a:ln w="28575" cap="rnd">
              <a:solidFill>
                <a:schemeClr val="accent1"/>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Provincia!$C$54:$T$54</c:f>
              <c:numCache>
                <c:formatCode>_ * #,##0.00_ ;_ * \-#,##0.00_ ;_ * "-"??_ ;_ @_ </c:formatCode>
                <c:ptCount val="18"/>
                <c:pt idx="0">
                  <c:v>148.68</c:v>
                </c:pt>
                <c:pt idx="1">
                  <c:v>140.94</c:v>
                </c:pt>
                <c:pt idx="2">
                  <c:v>144.72</c:v>
                </c:pt>
                <c:pt idx="3">
                  <c:v>218.88</c:v>
                </c:pt>
                <c:pt idx="4">
                  <c:v>169.56</c:v>
                </c:pt>
                <c:pt idx="5">
                  <c:v>134.73000000000002</c:v>
                </c:pt>
                <c:pt idx="6">
                  <c:v>186.39</c:v>
                </c:pt>
                <c:pt idx="7">
                  <c:v>166.23000000000002</c:v>
                </c:pt>
                <c:pt idx="8">
                  <c:v>257.13</c:v>
                </c:pt>
                <c:pt idx="9">
                  <c:v>181.35000000000002</c:v>
                </c:pt>
                <c:pt idx="10">
                  <c:v>136.97999999999999</c:v>
                </c:pt>
                <c:pt idx="11">
                  <c:v>451.35</c:v>
                </c:pt>
                <c:pt idx="12">
                  <c:v>307.17</c:v>
                </c:pt>
                <c:pt idx="13">
                  <c:v>337.68</c:v>
                </c:pt>
                <c:pt idx="14">
                  <c:v>238.68</c:v>
                </c:pt>
                <c:pt idx="15">
                  <c:v>365.94000000000005</c:v>
                </c:pt>
                <c:pt idx="16">
                  <c:v>657.09</c:v>
                </c:pt>
                <c:pt idx="17">
                  <c:v>355.86</c:v>
                </c:pt>
              </c:numCache>
            </c:numRef>
          </c:val>
          <c:smooth val="0"/>
          <c:extLst>
            <c:ext xmlns:c16="http://schemas.microsoft.com/office/drawing/2014/chart" uri="{C3380CC4-5D6E-409C-BE32-E72D297353CC}">
              <c16:uniqueId val="{00000000-8207-413F-AB72-8D653702391B}"/>
            </c:ext>
          </c:extLst>
        </c:ser>
        <c:ser>
          <c:idx val="1"/>
          <c:order val="1"/>
          <c:tx>
            <c:strRef>
              <c:f>Provincia!$B$55</c:f>
              <c:strCache>
                <c:ptCount val="1"/>
                <c:pt idx="0">
                  <c:v> DOS DE MAYO </c:v>
                </c:pt>
              </c:strCache>
            </c:strRef>
          </c:tx>
          <c:spPr>
            <a:ln w="28575" cap="rnd">
              <a:solidFill>
                <a:schemeClr val="accent2"/>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Provincia!$C$55:$T$55</c:f>
              <c:numCache>
                <c:formatCode>_ * #,##0.00_ ;_ * \-#,##0.00_ ;_ * "-"??_ ;_ @_ </c:formatCode>
                <c:ptCount val="18"/>
                <c:pt idx="0">
                  <c:v>37.799999999999997</c:v>
                </c:pt>
                <c:pt idx="1">
                  <c:v>8.64</c:v>
                </c:pt>
                <c:pt idx="2">
                  <c:v>7.29</c:v>
                </c:pt>
                <c:pt idx="3">
                  <c:v>42.12</c:v>
                </c:pt>
                <c:pt idx="4">
                  <c:v>9.09</c:v>
                </c:pt>
                <c:pt idx="5">
                  <c:v>7.47</c:v>
                </c:pt>
                <c:pt idx="6">
                  <c:v>27.72</c:v>
                </c:pt>
                <c:pt idx="7">
                  <c:v>12.69</c:v>
                </c:pt>
                <c:pt idx="8">
                  <c:v>38.79</c:v>
                </c:pt>
                <c:pt idx="9">
                  <c:v>22.5</c:v>
                </c:pt>
                <c:pt idx="10">
                  <c:v>8.73</c:v>
                </c:pt>
                <c:pt idx="11">
                  <c:v>18.809999999999999</c:v>
                </c:pt>
                <c:pt idx="12">
                  <c:v>14.58</c:v>
                </c:pt>
                <c:pt idx="13">
                  <c:v>20.34</c:v>
                </c:pt>
                <c:pt idx="14">
                  <c:v>8.01</c:v>
                </c:pt>
                <c:pt idx="15">
                  <c:v>25.92</c:v>
                </c:pt>
                <c:pt idx="16">
                  <c:v>65.52</c:v>
                </c:pt>
                <c:pt idx="17">
                  <c:v>11.61</c:v>
                </c:pt>
              </c:numCache>
            </c:numRef>
          </c:val>
          <c:smooth val="0"/>
          <c:extLst>
            <c:ext xmlns:c16="http://schemas.microsoft.com/office/drawing/2014/chart" uri="{C3380CC4-5D6E-409C-BE32-E72D297353CC}">
              <c16:uniqueId val="{00000001-8207-413F-AB72-8D653702391B}"/>
            </c:ext>
          </c:extLst>
        </c:ser>
        <c:ser>
          <c:idx val="2"/>
          <c:order val="2"/>
          <c:tx>
            <c:strRef>
              <c:f>Provincia!$B$56</c:f>
              <c:strCache>
                <c:ptCount val="1"/>
                <c:pt idx="0">
                  <c:v> HUACAYBAMBA </c:v>
                </c:pt>
              </c:strCache>
            </c:strRef>
          </c:tx>
          <c:spPr>
            <a:ln w="28575" cap="rnd">
              <a:solidFill>
                <a:schemeClr val="accent3"/>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Provincia!$C$56:$T$56</c:f>
              <c:numCache>
                <c:formatCode>_ * #,##0.00_ ;_ * \-#,##0.00_ ;_ * "-"??_ ;_ @_ </c:formatCode>
                <c:ptCount val="18"/>
                <c:pt idx="0">
                  <c:v>99.54</c:v>
                </c:pt>
                <c:pt idx="1">
                  <c:v>33.119999999999997</c:v>
                </c:pt>
                <c:pt idx="2">
                  <c:v>59.31</c:v>
                </c:pt>
                <c:pt idx="3">
                  <c:v>133.74</c:v>
                </c:pt>
                <c:pt idx="4">
                  <c:v>137.51999999999998</c:v>
                </c:pt>
                <c:pt idx="5">
                  <c:v>59.22</c:v>
                </c:pt>
                <c:pt idx="6">
                  <c:v>102.51</c:v>
                </c:pt>
                <c:pt idx="7">
                  <c:v>65.97</c:v>
                </c:pt>
                <c:pt idx="8">
                  <c:v>69.03</c:v>
                </c:pt>
                <c:pt idx="9">
                  <c:v>151.74</c:v>
                </c:pt>
                <c:pt idx="10">
                  <c:v>79.2</c:v>
                </c:pt>
                <c:pt idx="11">
                  <c:v>80.73</c:v>
                </c:pt>
                <c:pt idx="12">
                  <c:v>72.180000000000007</c:v>
                </c:pt>
                <c:pt idx="13">
                  <c:v>62.1</c:v>
                </c:pt>
                <c:pt idx="14">
                  <c:v>86.399999999999991</c:v>
                </c:pt>
                <c:pt idx="15">
                  <c:v>113.03999999999999</c:v>
                </c:pt>
                <c:pt idx="16">
                  <c:v>157.32</c:v>
                </c:pt>
                <c:pt idx="17">
                  <c:v>47.339999999999996</c:v>
                </c:pt>
              </c:numCache>
            </c:numRef>
          </c:val>
          <c:smooth val="0"/>
          <c:extLst>
            <c:ext xmlns:c16="http://schemas.microsoft.com/office/drawing/2014/chart" uri="{C3380CC4-5D6E-409C-BE32-E72D297353CC}">
              <c16:uniqueId val="{00000002-8207-413F-AB72-8D653702391B}"/>
            </c:ext>
          </c:extLst>
        </c:ser>
        <c:ser>
          <c:idx val="3"/>
          <c:order val="3"/>
          <c:tx>
            <c:strRef>
              <c:f>Provincia!$B$57</c:f>
              <c:strCache>
                <c:ptCount val="1"/>
                <c:pt idx="0">
                  <c:v> HUAMALIES </c:v>
                </c:pt>
              </c:strCache>
            </c:strRef>
          </c:tx>
          <c:spPr>
            <a:ln w="28575" cap="rnd">
              <a:solidFill>
                <a:schemeClr val="accent4"/>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Provincia!$C$57:$T$57</c:f>
              <c:numCache>
                <c:formatCode>_ * #,##0.00_ ;_ * \-#,##0.00_ ;_ * "-"??_ ;_ @_ </c:formatCode>
                <c:ptCount val="18"/>
                <c:pt idx="0">
                  <c:v>300.51</c:v>
                </c:pt>
                <c:pt idx="1">
                  <c:v>130.05000000000001</c:v>
                </c:pt>
                <c:pt idx="2">
                  <c:v>294.75</c:v>
                </c:pt>
                <c:pt idx="3">
                  <c:v>197.64000000000001</c:v>
                </c:pt>
                <c:pt idx="4">
                  <c:v>401.22</c:v>
                </c:pt>
                <c:pt idx="5">
                  <c:v>98.46</c:v>
                </c:pt>
                <c:pt idx="6">
                  <c:v>290.52</c:v>
                </c:pt>
                <c:pt idx="7">
                  <c:v>216.45</c:v>
                </c:pt>
                <c:pt idx="8">
                  <c:v>214.92</c:v>
                </c:pt>
                <c:pt idx="9">
                  <c:v>377.01</c:v>
                </c:pt>
                <c:pt idx="10">
                  <c:v>413.01000000000005</c:v>
                </c:pt>
                <c:pt idx="11">
                  <c:v>499.67999999999995</c:v>
                </c:pt>
                <c:pt idx="12">
                  <c:v>260.64</c:v>
                </c:pt>
                <c:pt idx="13">
                  <c:v>342.18</c:v>
                </c:pt>
                <c:pt idx="14">
                  <c:v>396.45</c:v>
                </c:pt>
                <c:pt idx="15">
                  <c:v>513.45000000000005</c:v>
                </c:pt>
                <c:pt idx="16">
                  <c:v>361.53</c:v>
                </c:pt>
                <c:pt idx="17">
                  <c:v>175.85999999999999</c:v>
                </c:pt>
              </c:numCache>
            </c:numRef>
          </c:val>
          <c:smooth val="0"/>
          <c:extLst>
            <c:ext xmlns:c16="http://schemas.microsoft.com/office/drawing/2014/chart" uri="{C3380CC4-5D6E-409C-BE32-E72D297353CC}">
              <c16:uniqueId val="{00000003-8207-413F-AB72-8D653702391B}"/>
            </c:ext>
          </c:extLst>
        </c:ser>
        <c:ser>
          <c:idx val="4"/>
          <c:order val="4"/>
          <c:tx>
            <c:strRef>
              <c:f>Provincia!$B$58</c:f>
              <c:strCache>
                <c:ptCount val="1"/>
                <c:pt idx="0">
                  <c:v> LEONCIO PRADO </c:v>
                </c:pt>
              </c:strCache>
            </c:strRef>
          </c:tx>
          <c:spPr>
            <a:ln w="28575" cap="rnd">
              <a:solidFill>
                <a:schemeClr val="accent5"/>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Provincia!$C$58:$T$58</c:f>
              <c:numCache>
                <c:formatCode>_ * #,##0.00_ ;_ * \-#,##0.00_ ;_ * "-"??_ ;_ @_ </c:formatCode>
                <c:ptCount val="18"/>
                <c:pt idx="0">
                  <c:v>1858.9499999999998</c:v>
                </c:pt>
                <c:pt idx="1">
                  <c:v>967.05</c:v>
                </c:pt>
                <c:pt idx="2">
                  <c:v>2528.46</c:v>
                </c:pt>
                <c:pt idx="3">
                  <c:v>861.39000000000021</c:v>
                </c:pt>
                <c:pt idx="4">
                  <c:v>2963.97</c:v>
                </c:pt>
                <c:pt idx="5">
                  <c:v>788.85</c:v>
                </c:pt>
                <c:pt idx="6">
                  <c:v>1866.6000000000001</c:v>
                </c:pt>
                <c:pt idx="7">
                  <c:v>1711.0800000000002</c:v>
                </c:pt>
                <c:pt idx="8">
                  <c:v>2195.46</c:v>
                </c:pt>
                <c:pt idx="9">
                  <c:v>1787.49</c:v>
                </c:pt>
                <c:pt idx="10">
                  <c:v>2140.6499999999996</c:v>
                </c:pt>
                <c:pt idx="11">
                  <c:v>2279.1600000000003</c:v>
                </c:pt>
                <c:pt idx="12">
                  <c:v>1565.28</c:v>
                </c:pt>
                <c:pt idx="13">
                  <c:v>2997.45</c:v>
                </c:pt>
                <c:pt idx="14">
                  <c:v>2566.3500000000004</c:v>
                </c:pt>
                <c:pt idx="15">
                  <c:v>2814.57</c:v>
                </c:pt>
                <c:pt idx="16">
                  <c:v>2248.5600000000004</c:v>
                </c:pt>
                <c:pt idx="17">
                  <c:v>2110.14</c:v>
                </c:pt>
              </c:numCache>
            </c:numRef>
          </c:val>
          <c:smooth val="0"/>
          <c:extLst>
            <c:ext xmlns:c16="http://schemas.microsoft.com/office/drawing/2014/chart" uri="{C3380CC4-5D6E-409C-BE32-E72D297353CC}">
              <c16:uniqueId val="{00000004-8207-413F-AB72-8D653702391B}"/>
            </c:ext>
          </c:extLst>
        </c:ser>
        <c:ser>
          <c:idx val="5"/>
          <c:order val="5"/>
          <c:tx>
            <c:strRef>
              <c:f>Provincia!$B$59</c:f>
              <c:strCache>
                <c:ptCount val="1"/>
                <c:pt idx="0">
                  <c:v> MARAÑON </c:v>
                </c:pt>
              </c:strCache>
            </c:strRef>
          </c:tx>
          <c:spPr>
            <a:ln w="28575" cap="rnd">
              <a:solidFill>
                <a:schemeClr val="accent6"/>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Provincia!$C$59:$T$59</c:f>
              <c:numCache>
                <c:formatCode>_ * #,##0.00_ ;_ * \-#,##0.00_ ;_ * "-"??_ ;_ @_ </c:formatCode>
                <c:ptCount val="18"/>
                <c:pt idx="0">
                  <c:v>651.05999999999995</c:v>
                </c:pt>
                <c:pt idx="1">
                  <c:v>540.99</c:v>
                </c:pt>
                <c:pt idx="2">
                  <c:v>918</c:v>
                </c:pt>
                <c:pt idx="3">
                  <c:v>965.33999999999992</c:v>
                </c:pt>
                <c:pt idx="4">
                  <c:v>1613.34</c:v>
                </c:pt>
                <c:pt idx="5">
                  <c:v>491.58000000000004</c:v>
                </c:pt>
                <c:pt idx="6">
                  <c:v>885.06</c:v>
                </c:pt>
                <c:pt idx="7">
                  <c:v>549.27</c:v>
                </c:pt>
                <c:pt idx="8">
                  <c:v>1512.4499999999998</c:v>
                </c:pt>
                <c:pt idx="9">
                  <c:v>1395.63</c:v>
                </c:pt>
                <c:pt idx="10">
                  <c:v>1074.8699999999999</c:v>
                </c:pt>
                <c:pt idx="11">
                  <c:v>1561.68</c:v>
                </c:pt>
                <c:pt idx="12">
                  <c:v>1394.01</c:v>
                </c:pt>
                <c:pt idx="13">
                  <c:v>1838.88</c:v>
                </c:pt>
                <c:pt idx="14">
                  <c:v>1838.5200000000002</c:v>
                </c:pt>
                <c:pt idx="15">
                  <c:v>1690.56</c:v>
                </c:pt>
                <c:pt idx="16">
                  <c:v>1188.8999999999999</c:v>
                </c:pt>
                <c:pt idx="17">
                  <c:v>1292.76</c:v>
                </c:pt>
              </c:numCache>
            </c:numRef>
          </c:val>
          <c:smooth val="0"/>
          <c:extLst>
            <c:ext xmlns:c16="http://schemas.microsoft.com/office/drawing/2014/chart" uri="{C3380CC4-5D6E-409C-BE32-E72D297353CC}">
              <c16:uniqueId val="{00000005-8207-413F-AB72-8D653702391B}"/>
            </c:ext>
          </c:extLst>
        </c:ser>
        <c:ser>
          <c:idx val="6"/>
          <c:order val="6"/>
          <c:tx>
            <c:strRef>
              <c:f>Provincia!$B$60</c:f>
              <c:strCache>
                <c:ptCount val="1"/>
                <c:pt idx="0">
                  <c:v> PACHITEA </c:v>
                </c:pt>
              </c:strCache>
            </c:strRef>
          </c:tx>
          <c:spPr>
            <a:ln w="28575" cap="rnd">
              <a:solidFill>
                <a:schemeClr val="accent1">
                  <a:lumMod val="60000"/>
                </a:schemeClr>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Provincia!$C$60:$T$60</c:f>
              <c:numCache>
                <c:formatCode>_ * #,##0.00_ ;_ * \-#,##0.00_ ;_ * "-"??_ ;_ @_ </c:formatCode>
                <c:ptCount val="18"/>
                <c:pt idx="0">
                  <c:v>418.86</c:v>
                </c:pt>
                <c:pt idx="1">
                  <c:v>449.54999999999995</c:v>
                </c:pt>
                <c:pt idx="2">
                  <c:v>518.85</c:v>
                </c:pt>
                <c:pt idx="3">
                  <c:v>444.86999999999995</c:v>
                </c:pt>
                <c:pt idx="4">
                  <c:v>725.75999999999988</c:v>
                </c:pt>
                <c:pt idx="5">
                  <c:v>303.12</c:v>
                </c:pt>
                <c:pt idx="6">
                  <c:v>557.37</c:v>
                </c:pt>
                <c:pt idx="7">
                  <c:v>512.46</c:v>
                </c:pt>
                <c:pt idx="8">
                  <c:v>617.66999999999996</c:v>
                </c:pt>
                <c:pt idx="9">
                  <c:v>422.90999999999997</c:v>
                </c:pt>
                <c:pt idx="10">
                  <c:v>496.71</c:v>
                </c:pt>
                <c:pt idx="11">
                  <c:v>696.15</c:v>
                </c:pt>
                <c:pt idx="12">
                  <c:v>429.57</c:v>
                </c:pt>
                <c:pt idx="13">
                  <c:v>679.14</c:v>
                </c:pt>
                <c:pt idx="14">
                  <c:v>637.02</c:v>
                </c:pt>
                <c:pt idx="15">
                  <c:v>674.81999999999994</c:v>
                </c:pt>
                <c:pt idx="16">
                  <c:v>1460.16</c:v>
                </c:pt>
                <c:pt idx="17">
                  <c:v>730.9799999999999</c:v>
                </c:pt>
              </c:numCache>
            </c:numRef>
          </c:val>
          <c:smooth val="0"/>
          <c:extLst>
            <c:ext xmlns:c16="http://schemas.microsoft.com/office/drawing/2014/chart" uri="{C3380CC4-5D6E-409C-BE32-E72D297353CC}">
              <c16:uniqueId val="{00000006-8207-413F-AB72-8D653702391B}"/>
            </c:ext>
          </c:extLst>
        </c:ser>
        <c:ser>
          <c:idx val="7"/>
          <c:order val="7"/>
          <c:tx>
            <c:strRef>
              <c:f>Provincia!$B$61</c:f>
              <c:strCache>
                <c:ptCount val="1"/>
                <c:pt idx="0">
                  <c:v> PUERTO INCA </c:v>
                </c:pt>
              </c:strCache>
            </c:strRef>
          </c:tx>
          <c:spPr>
            <a:ln w="28575" cap="rnd">
              <a:solidFill>
                <a:schemeClr val="accent2">
                  <a:lumMod val="60000"/>
                </a:schemeClr>
              </a:solidFill>
              <a:round/>
            </a:ln>
            <a:effectLst/>
          </c:spPr>
          <c:marker>
            <c:symbol val="none"/>
          </c:marker>
          <c:cat>
            <c:numRef>
              <c:f>Provincia!$C$53:$T$53</c:f>
              <c:numCache>
                <c:formatCode>_ * #,##0_ ;_ * \-#,##0_ ;_ * "-"??_ ;_ @_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Provincia!$C$61:$T$61</c:f>
              <c:numCache>
                <c:formatCode>_ * #,##0.00_ ;_ * \-#,##0.00_ ;_ * "-"??_ ;_ @_ </c:formatCode>
                <c:ptCount val="18"/>
                <c:pt idx="0">
                  <c:v>7358.76</c:v>
                </c:pt>
                <c:pt idx="1">
                  <c:v>8016.3900000000012</c:v>
                </c:pt>
                <c:pt idx="2">
                  <c:v>9656.4600000000009</c:v>
                </c:pt>
                <c:pt idx="3">
                  <c:v>6246.36</c:v>
                </c:pt>
                <c:pt idx="4">
                  <c:v>20385.27</c:v>
                </c:pt>
                <c:pt idx="5">
                  <c:v>6816.42</c:v>
                </c:pt>
                <c:pt idx="6">
                  <c:v>7755.39</c:v>
                </c:pt>
                <c:pt idx="7">
                  <c:v>13893.39</c:v>
                </c:pt>
                <c:pt idx="8">
                  <c:v>20085.93</c:v>
                </c:pt>
                <c:pt idx="9">
                  <c:v>13565.79</c:v>
                </c:pt>
                <c:pt idx="10">
                  <c:v>14824.259999999998</c:v>
                </c:pt>
                <c:pt idx="11">
                  <c:v>17667.18</c:v>
                </c:pt>
                <c:pt idx="12">
                  <c:v>16751.25</c:v>
                </c:pt>
                <c:pt idx="13">
                  <c:v>21317.759999999998</c:v>
                </c:pt>
                <c:pt idx="14">
                  <c:v>17140.14</c:v>
                </c:pt>
                <c:pt idx="15">
                  <c:v>11999.61</c:v>
                </c:pt>
                <c:pt idx="16">
                  <c:v>13096.800000000001</c:v>
                </c:pt>
                <c:pt idx="17">
                  <c:v>11835.18</c:v>
                </c:pt>
              </c:numCache>
            </c:numRef>
          </c:val>
          <c:smooth val="0"/>
          <c:extLst>
            <c:ext xmlns:c16="http://schemas.microsoft.com/office/drawing/2014/chart" uri="{C3380CC4-5D6E-409C-BE32-E72D297353CC}">
              <c16:uniqueId val="{00000007-8207-413F-AB72-8D653702391B}"/>
            </c:ext>
          </c:extLst>
        </c:ser>
        <c:dLbls>
          <c:showLegendKey val="0"/>
          <c:showVal val="0"/>
          <c:showCatName val="0"/>
          <c:showSerName val="0"/>
          <c:showPercent val="0"/>
          <c:showBubbleSize val="0"/>
        </c:dLbls>
        <c:smooth val="0"/>
        <c:axId val="-1318014336"/>
        <c:axId val="-1318007808"/>
      </c:lineChart>
      <c:catAx>
        <c:axId val="-1318014336"/>
        <c:scaling>
          <c:orientation val="minMax"/>
        </c:scaling>
        <c:delete val="0"/>
        <c:axPos val="b"/>
        <c:numFmt formatCode="_ * #,##0_ ;_ * \-#,##0_ ;_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07808"/>
        <c:crosses val="autoZero"/>
        <c:auto val="1"/>
        <c:lblAlgn val="ctr"/>
        <c:lblOffset val="100"/>
        <c:noMultiLvlLbl val="0"/>
      </c:catAx>
      <c:valAx>
        <c:axId val="-1318007808"/>
        <c:scaling>
          <c:orientation val="minMax"/>
        </c:scaling>
        <c:delete val="0"/>
        <c:axPos val="l"/>
        <c:majorGridlines>
          <c:spPr>
            <a:ln w="9525" cap="flat" cmpd="sng" algn="ctr">
              <a:solidFill>
                <a:schemeClr val="tx1">
                  <a:lumMod val="15000"/>
                  <a:lumOff val="850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1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5888646025598"/>
          <c:y val="2.6018567906392089E-2"/>
          <c:w val="0.81568263342082237"/>
          <c:h val="0.75172568137651674"/>
        </c:manualLayout>
      </c:layout>
      <c:lineChart>
        <c:grouping val="standard"/>
        <c:varyColors val="0"/>
        <c:ser>
          <c:idx val="0"/>
          <c:order val="0"/>
          <c:tx>
            <c:strRef>
              <c:f>'SERIE HISTORICA 2006-07 A 2 (2'!$B$23</c:f>
              <c:strCache>
                <c:ptCount val="1"/>
                <c:pt idx="0">
                  <c:v>ARROZ CASCARA</c:v>
                </c:pt>
              </c:strCache>
            </c:strRef>
          </c:tx>
          <c:spPr>
            <a:ln w="28575" cap="rnd">
              <a:solidFill>
                <a:schemeClr val="accent1"/>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(2'!$C$23:$N$23</c:f>
              <c:numCache>
                <c:formatCode>_(* #,##0.00_);_(* \(#,##0.00\);_(* "-"??_);_(@_)</c:formatCode>
                <c:ptCount val="12"/>
                <c:pt idx="0">
                  <c:v>7181.5</c:v>
                </c:pt>
                <c:pt idx="1">
                  <c:v>7398</c:v>
                </c:pt>
                <c:pt idx="2">
                  <c:v>8101.5</c:v>
                </c:pt>
                <c:pt idx="3">
                  <c:v>7789.25</c:v>
                </c:pt>
                <c:pt idx="4">
                  <c:v>8399</c:v>
                </c:pt>
                <c:pt idx="5">
                  <c:v>7966</c:v>
                </c:pt>
                <c:pt idx="6">
                  <c:v>7294</c:v>
                </c:pt>
                <c:pt idx="7">
                  <c:v>7057</c:v>
                </c:pt>
                <c:pt idx="8">
                  <c:v>7576</c:v>
                </c:pt>
                <c:pt idx="9">
                  <c:v>9151</c:v>
                </c:pt>
                <c:pt idx="10">
                  <c:v>10543</c:v>
                </c:pt>
                <c:pt idx="11">
                  <c:v>10047</c:v>
                </c:pt>
              </c:numCache>
            </c:numRef>
          </c:val>
          <c:smooth val="0"/>
          <c:extLst>
            <c:ext xmlns:c16="http://schemas.microsoft.com/office/drawing/2014/chart" uri="{C3380CC4-5D6E-409C-BE32-E72D297353CC}">
              <c16:uniqueId val="{00000000-6792-4825-A48C-8E068DB63CC1}"/>
            </c:ext>
          </c:extLst>
        </c:ser>
        <c:ser>
          <c:idx val="1"/>
          <c:order val="1"/>
          <c:tx>
            <c:strRef>
              <c:f>'SERIE HISTORICA 2006-07 A 2 (2'!$B$24</c:f>
              <c:strCache>
                <c:ptCount val="1"/>
                <c:pt idx="0">
                  <c:v>CACAO *</c:v>
                </c:pt>
              </c:strCache>
            </c:strRef>
          </c:tx>
          <c:spPr>
            <a:ln w="28575" cap="rnd">
              <a:solidFill>
                <a:schemeClr val="accent2"/>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(2'!$C$24:$N$24</c:f>
              <c:numCache>
                <c:formatCode>_(* #,##0.00_);_(* \(#,##0.00\);_(* "-"??_);_(@_)</c:formatCode>
                <c:ptCount val="12"/>
                <c:pt idx="0">
                  <c:v>3705</c:v>
                </c:pt>
                <c:pt idx="1">
                  <c:v>3408.5</c:v>
                </c:pt>
                <c:pt idx="2">
                  <c:v>3590</c:v>
                </c:pt>
                <c:pt idx="3">
                  <c:v>3837</c:v>
                </c:pt>
                <c:pt idx="4">
                  <c:v>4200.5</c:v>
                </c:pt>
                <c:pt idx="5">
                  <c:v>4774.5</c:v>
                </c:pt>
                <c:pt idx="6">
                  <c:v>5174.5</c:v>
                </c:pt>
                <c:pt idx="7">
                  <c:v>6841.5</c:v>
                </c:pt>
                <c:pt idx="8">
                  <c:v>9382</c:v>
                </c:pt>
                <c:pt idx="9">
                  <c:v>10449</c:v>
                </c:pt>
                <c:pt idx="10">
                  <c:v>13943.25</c:v>
                </c:pt>
                <c:pt idx="11">
                  <c:v>16392</c:v>
                </c:pt>
              </c:numCache>
            </c:numRef>
          </c:val>
          <c:smooth val="0"/>
          <c:extLst>
            <c:ext xmlns:c16="http://schemas.microsoft.com/office/drawing/2014/chart" uri="{C3380CC4-5D6E-409C-BE32-E72D297353CC}">
              <c16:uniqueId val="{00000001-6792-4825-A48C-8E068DB63CC1}"/>
            </c:ext>
          </c:extLst>
        </c:ser>
        <c:ser>
          <c:idx val="2"/>
          <c:order val="2"/>
          <c:tx>
            <c:strRef>
              <c:f>'SERIE HISTORICA 2006-07 A 2 (2'!$B$25</c:f>
              <c:strCache>
                <c:ptCount val="1"/>
                <c:pt idx="0">
                  <c:v>CAFÉ *</c:v>
                </c:pt>
              </c:strCache>
            </c:strRef>
          </c:tx>
          <c:spPr>
            <a:ln w="28575" cap="rnd">
              <a:solidFill>
                <a:schemeClr val="accent3"/>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(2'!$C$25:$N$25</c:f>
              <c:numCache>
                <c:formatCode>_(* #,##0.00_);_(* \(#,##0.00\);_(* "-"??_);_(@_)</c:formatCode>
                <c:ptCount val="12"/>
                <c:pt idx="0">
                  <c:v>4028.5</c:v>
                </c:pt>
                <c:pt idx="1">
                  <c:v>4052.5</c:v>
                </c:pt>
                <c:pt idx="2">
                  <c:v>4215.25</c:v>
                </c:pt>
                <c:pt idx="3">
                  <c:v>4313.5</c:v>
                </c:pt>
                <c:pt idx="4">
                  <c:v>4629.5</c:v>
                </c:pt>
                <c:pt idx="5">
                  <c:v>4667.5</c:v>
                </c:pt>
                <c:pt idx="6">
                  <c:v>5616.5</c:v>
                </c:pt>
                <c:pt idx="7">
                  <c:v>7164.25</c:v>
                </c:pt>
                <c:pt idx="8">
                  <c:v>11665.75</c:v>
                </c:pt>
                <c:pt idx="9">
                  <c:v>16202</c:v>
                </c:pt>
                <c:pt idx="10">
                  <c:v>18326</c:v>
                </c:pt>
                <c:pt idx="11">
                  <c:v>19440.75</c:v>
                </c:pt>
              </c:numCache>
            </c:numRef>
          </c:val>
          <c:smooth val="0"/>
          <c:extLst>
            <c:ext xmlns:c16="http://schemas.microsoft.com/office/drawing/2014/chart" uri="{C3380CC4-5D6E-409C-BE32-E72D297353CC}">
              <c16:uniqueId val="{00000002-6792-4825-A48C-8E068DB63CC1}"/>
            </c:ext>
          </c:extLst>
        </c:ser>
        <c:ser>
          <c:idx val="3"/>
          <c:order val="3"/>
          <c:tx>
            <c:strRef>
              <c:f>'SERIE HISTORICA 2006-07 A 2 (2'!$B$26</c:f>
              <c:strCache>
                <c:ptCount val="1"/>
                <c:pt idx="0">
                  <c:v>MAIZ AMARILLO DURO</c:v>
                </c:pt>
              </c:strCache>
            </c:strRef>
          </c:tx>
          <c:spPr>
            <a:ln w="28575" cap="rnd">
              <a:solidFill>
                <a:schemeClr val="accent4"/>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(2'!$C$26:$N$26</c:f>
              <c:numCache>
                <c:formatCode>_(* #,##0.00_);_(* \(#,##0.00\);_(* "-"??_);_(@_)</c:formatCode>
                <c:ptCount val="12"/>
                <c:pt idx="0">
                  <c:v>9341</c:v>
                </c:pt>
                <c:pt idx="1">
                  <c:v>9796</c:v>
                </c:pt>
                <c:pt idx="2">
                  <c:v>11867</c:v>
                </c:pt>
                <c:pt idx="3">
                  <c:v>10531.5</c:v>
                </c:pt>
                <c:pt idx="4">
                  <c:v>11473.5</c:v>
                </c:pt>
                <c:pt idx="5">
                  <c:v>11451</c:v>
                </c:pt>
                <c:pt idx="6">
                  <c:v>11022.75</c:v>
                </c:pt>
                <c:pt idx="7">
                  <c:v>9775.75</c:v>
                </c:pt>
                <c:pt idx="8">
                  <c:v>11447.25</c:v>
                </c:pt>
                <c:pt idx="9">
                  <c:v>10863.5</c:v>
                </c:pt>
                <c:pt idx="10">
                  <c:v>11324.5</c:v>
                </c:pt>
                <c:pt idx="11">
                  <c:v>11145.5</c:v>
                </c:pt>
              </c:numCache>
            </c:numRef>
          </c:val>
          <c:smooth val="0"/>
          <c:extLst>
            <c:ext xmlns:c16="http://schemas.microsoft.com/office/drawing/2014/chart" uri="{C3380CC4-5D6E-409C-BE32-E72D297353CC}">
              <c16:uniqueId val="{00000003-6792-4825-A48C-8E068DB63CC1}"/>
            </c:ext>
          </c:extLst>
        </c:ser>
        <c:ser>
          <c:idx val="4"/>
          <c:order val="4"/>
          <c:tx>
            <c:strRef>
              <c:f>'SERIE HISTORICA 2006-07 A 2 (2'!$B$27</c:f>
              <c:strCache>
                <c:ptCount val="1"/>
                <c:pt idx="0">
                  <c:v>PALMA ACEITERA *</c:v>
                </c:pt>
              </c:strCache>
            </c:strRef>
          </c:tx>
          <c:spPr>
            <a:ln w="28575" cap="rnd">
              <a:solidFill>
                <a:schemeClr val="accent5"/>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(2'!$C$27:$N$27</c:f>
              <c:numCache>
                <c:formatCode>_(* #,##0.00_);_(* \(#,##0.00\);_(* "-"??_);_(@_)</c:formatCode>
                <c:ptCount val="12"/>
                <c:pt idx="0">
                  <c:v>0</c:v>
                </c:pt>
                <c:pt idx="1">
                  <c:v>0</c:v>
                </c:pt>
                <c:pt idx="2">
                  <c:v>0</c:v>
                </c:pt>
                <c:pt idx="3">
                  <c:v>0</c:v>
                </c:pt>
                <c:pt idx="4">
                  <c:v>0</c:v>
                </c:pt>
                <c:pt idx="5">
                  <c:v>401.5</c:v>
                </c:pt>
                <c:pt idx="6">
                  <c:v>818</c:v>
                </c:pt>
                <c:pt idx="7">
                  <c:v>1641.5</c:v>
                </c:pt>
                <c:pt idx="8">
                  <c:v>2128</c:v>
                </c:pt>
                <c:pt idx="9">
                  <c:v>2398</c:v>
                </c:pt>
                <c:pt idx="10">
                  <c:v>2475</c:v>
                </c:pt>
                <c:pt idx="11">
                  <c:v>3125</c:v>
                </c:pt>
              </c:numCache>
            </c:numRef>
          </c:val>
          <c:smooth val="0"/>
          <c:extLst>
            <c:ext xmlns:c16="http://schemas.microsoft.com/office/drawing/2014/chart" uri="{C3380CC4-5D6E-409C-BE32-E72D297353CC}">
              <c16:uniqueId val="{00000004-6792-4825-A48C-8E068DB63CC1}"/>
            </c:ext>
          </c:extLst>
        </c:ser>
        <c:ser>
          <c:idx val="5"/>
          <c:order val="5"/>
          <c:tx>
            <c:strRef>
              <c:f>'SERIE HISTORICA 2006-07 A 2 (2'!$B$28</c:f>
              <c:strCache>
                <c:ptCount val="1"/>
                <c:pt idx="0">
                  <c:v>PAPAYO*</c:v>
                </c:pt>
              </c:strCache>
            </c:strRef>
          </c:tx>
          <c:spPr>
            <a:ln w="28575" cap="rnd">
              <a:solidFill>
                <a:schemeClr val="accent6"/>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(2'!$C$28:$N$28</c:f>
              <c:numCache>
                <c:formatCode>_(* #,##0.00_);_(* \(#,##0.00\);_(* "-"??_);_(@_)</c:formatCode>
                <c:ptCount val="12"/>
                <c:pt idx="0">
                  <c:v>221</c:v>
                </c:pt>
                <c:pt idx="1">
                  <c:v>139</c:v>
                </c:pt>
                <c:pt idx="2">
                  <c:v>185</c:v>
                </c:pt>
                <c:pt idx="3">
                  <c:v>214</c:v>
                </c:pt>
                <c:pt idx="4">
                  <c:v>140</c:v>
                </c:pt>
                <c:pt idx="5">
                  <c:v>152</c:v>
                </c:pt>
                <c:pt idx="6">
                  <c:v>215</c:v>
                </c:pt>
                <c:pt idx="7">
                  <c:v>450.5</c:v>
                </c:pt>
                <c:pt idx="8">
                  <c:v>339</c:v>
                </c:pt>
                <c:pt idx="9">
                  <c:v>295.75</c:v>
                </c:pt>
                <c:pt idx="10">
                  <c:v>259.25</c:v>
                </c:pt>
                <c:pt idx="11">
                  <c:v>147.25</c:v>
                </c:pt>
              </c:numCache>
            </c:numRef>
          </c:val>
          <c:smooth val="0"/>
          <c:extLst>
            <c:ext xmlns:c16="http://schemas.microsoft.com/office/drawing/2014/chart" uri="{C3380CC4-5D6E-409C-BE32-E72D297353CC}">
              <c16:uniqueId val="{00000005-6792-4825-A48C-8E068DB63CC1}"/>
            </c:ext>
          </c:extLst>
        </c:ser>
        <c:ser>
          <c:idx val="6"/>
          <c:order val="6"/>
          <c:tx>
            <c:strRef>
              <c:f>'SERIE HISTORICA 2006-07 A 2 (2'!$B$29</c:f>
              <c:strCache>
                <c:ptCount val="1"/>
                <c:pt idx="0">
                  <c:v>PLATANO *</c:v>
                </c:pt>
              </c:strCache>
            </c:strRef>
          </c:tx>
          <c:spPr>
            <a:ln w="28575" cap="rnd">
              <a:solidFill>
                <a:schemeClr val="accent1">
                  <a:lumMod val="60000"/>
                </a:schemeClr>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(2'!$C$29:$N$29</c:f>
              <c:numCache>
                <c:formatCode>_(* #,##0.00_);_(* \(#,##0.00\);_(* "-"??_);_(@_)</c:formatCode>
                <c:ptCount val="12"/>
                <c:pt idx="0">
                  <c:v>8414</c:v>
                </c:pt>
                <c:pt idx="1">
                  <c:v>8516.5</c:v>
                </c:pt>
                <c:pt idx="2">
                  <c:v>9576.5</c:v>
                </c:pt>
                <c:pt idx="3">
                  <c:v>9997.5</c:v>
                </c:pt>
                <c:pt idx="4">
                  <c:v>10188</c:v>
                </c:pt>
                <c:pt idx="5">
                  <c:v>12505.25</c:v>
                </c:pt>
                <c:pt idx="6">
                  <c:v>13242.75</c:v>
                </c:pt>
                <c:pt idx="7">
                  <c:v>16059.25</c:v>
                </c:pt>
                <c:pt idx="8">
                  <c:v>17986.5</c:v>
                </c:pt>
                <c:pt idx="9">
                  <c:v>17971.5</c:v>
                </c:pt>
                <c:pt idx="10">
                  <c:v>18185.5</c:v>
                </c:pt>
                <c:pt idx="11">
                  <c:v>18868.75</c:v>
                </c:pt>
              </c:numCache>
            </c:numRef>
          </c:val>
          <c:smooth val="0"/>
          <c:extLst>
            <c:ext xmlns:c16="http://schemas.microsoft.com/office/drawing/2014/chart" uri="{C3380CC4-5D6E-409C-BE32-E72D297353CC}">
              <c16:uniqueId val="{00000006-6792-4825-A48C-8E068DB63CC1}"/>
            </c:ext>
          </c:extLst>
        </c:ser>
        <c:ser>
          <c:idx val="7"/>
          <c:order val="7"/>
          <c:tx>
            <c:strRef>
              <c:f>'SERIE HISTORICA 2006-07 A 2 (2'!$B$30</c:f>
              <c:strCache>
                <c:ptCount val="1"/>
                <c:pt idx="0">
                  <c:v>YUCA</c:v>
                </c:pt>
              </c:strCache>
            </c:strRef>
          </c:tx>
          <c:spPr>
            <a:ln w="28575" cap="rnd">
              <a:solidFill>
                <a:schemeClr val="accent2">
                  <a:lumMod val="60000"/>
                </a:schemeClr>
              </a:solidFill>
              <a:round/>
            </a:ln>
            <a:effectLst/>
          </c:spPr>
          <c:marker>
            <c:symbol val="none"/>
          </c:marker>
          <c:cat>
            <c:numRef>
              <c:f>'SERIE HISTORICA 2006-07 A 2 (2'!$C$22:$N$22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'SERIE HISTORICA 2006-07 A 2 (2'!$C$30:$N$30</c:f>
              <c:numCache>
                <c:formatCode>_(* #,##0.00_);_(* \(#,##0.00\);_(* "-"??_);_(@_)</c:formatCode>
                <c:ptCount val="12"/>
                <c:pt idx="0">
                  <c:v>3959</c:v>
                </c:pt>
                <c:pt idx="1">
                  <c:v>4343.5</c:v>
                </c:pt>
                <c:pt idx="2">
                  <c:v>4251</c:v>
                </c:pt>
                <c:pt idx="3">
                  <c:v>4456</c:v>
                </c:pt>
                <c:pt idx="4">
                  <c:v>4467.5</c:v>
                </c:pt>
                <c:pt idx="5">
                  <c:v>4834</c:v>
                </c:pt>
                <c:pt idx="6">
                  <c:v>4975</c:v>
                </c:pt>
                <c:pt idx="7">
                  <c:v>4778.5</c:v>
                </c:pt>
                <c:pt idx="8">
                  <c:v>4794.5</c:v>
                </c:pt>
                <c:pt idx="9">
                  <c:v>4726</c:v>
                </c:pt>
                <c:pt idx="10">
                  <c:v>4650.5</c:v>
                </c:pt>
                <c:pt idx="11">
                  <c:v>4427.75</c:v>
                </c:pt>
              </c:numCache>
            </c:numRef>
          </c:val>
          <c:smooth val="0"/>
          <c:extLst>
            <c:ext xmlns:c16="http://schemas.microsoft.com/office/drawing/2014/chart" uri="{C3380CC4-5D6E-409C-BE32-E72D297353CC}">
              <c16:uniqueId val="{00000007-6792-4825-A48C-8E068DB63CC1}"/>
            </c:ext>
          </c:extLst>
        </c:ser>
        <c:dLbls>
          <c:showLegendKey val="0"/>
          <c:showVal val="0"/>
          <c:showCatName val="0"/>
          <c:showSerName val="0"/>
          <c:showPercent val="0"/>
          <c:showBubbleSize val="0"/>
        </c:dLbls>
        <c:smooth val="0"/>
        <c:axId val="-1318028480"/>
        <c:axId val="-1318024128"/>
      </c:lineChart>
      <c:catAx>
        <c:axId val="-13180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24128"/>
        <c:crosses val="autoZero"/>
        <c:auto val="1"/>
        <c:lblAlgn val="ctr"/>
        <c:lblOffset val="100"/>
        <c:noMultiLvlLbl val="0"/>
      </c:catAx>
      <c:valAx>
        <c:axId val="-13180241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28480"/>
        <c:crosses val="autoZero"/>
        <c:crossBetween val="between"/>
      </c:valAx>
      <c:spPr>
        <a:noFill/>
        <a:ln>
          <a:noFill/>
        </a:ln>
        <a:effectLst/>
      </c:spPr>
    </c:plotArea>
    <c:legend>
      <c:legendPos val="b"/>
      <c:layout>
        <c:manualLayout>
          <c:xMode val="edge"/>
          <c:yMode val="edge"/>
          <c:x val="0.1070006051080251"/>
          <c:y val="0.849672318567541"/>
          <c:w val="0.8754139661976762"/>
          <c:h val="0.1370110944720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1922207983643"/>
          <c:y val="2.9545622386555299E-2"/>
          <c:w val="0.8535179369041711"/>
          <c:h val="0.66513098410227234"/>
        </c:manualLayout>
      </c:layout>
      <c:lineChart>
        <c:grouping val="standard"/>
        <c:varyColors val="0"/>
        <c:ser>
          <c:idx val="0"/>
          <c:order val="0"/>
          <c:tx>
            <c:strRef>
              <c:f>Cuadros!$B$34</c:f>
              <c:strCache>
                <c:ptCount val="1"/>
                <c:pt idx="0">
                  <c:v>BPP</c:v>
                </c:pt>
              </c:strCache>
            </c:strRef>
          </c:tx>
          <c:spPr>
            <a:ln w="28575" cap="rnd">
              <a:solidFill>
                <a:schemeClr val="accent1"/>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Cuadros!$C$34:$F$34</c:f>
              <c:numCache>
                <c:formatCode>#,##0.00</c:formatCode>
                <c:ptCount val="4"/>
                <c:pt idx="0">
                  <c:v>4630.88</c:v>
                </c:pt>
                <c:pt idx="1">
                  <c:v>8779.5299999999988</c:v>
                </c:pt>
                <c:pt idx="2">
                  <c:v>13167.18</c:v>
                </c:pt>
                <c:pt idx="3">
                  <c:v>20490.489999999998</c:v>
                </c:pt>
              </c:numCache>
            </c:numRef>
          </c:val>
          <c:smooth val="0"/>
          <c:extLst>
            <c:ext xmlns:c16="http://schemas.microsoft.com/office/drawing/2014/chart" uri="{C3380CC4-5D6E-409C-BE32-E72D297353CC}">
              <c16:uniqueId val="{00000000-7C60-4CB7-A2F5-5A537C98567A}"/>
            </c:ext>
          </c:extLst>
        </c:ser>
        <c:ser>
          <c:idx val="1"/>
          <c:order val="1"/>
          <c:tx>
            <c:strRef>
              <c:f>Cuadros!$B$35</c:f>
              <c:strCache>
                <c:ptCount val="1"/>
                <c:pt idx="0">
                  <c:v>CC Forestales</c:v>
                </c:pt>
              </c:strCache>
            </c:strRef>
          </c:tx>
          <c:spPr>
            <a:ln w="28575" cap="rnd">
              <a:solidFill>
                <a:schemeClr val="accent2"/>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Cuadros!$C$35:$F$35</c:f>
              <c:numCache>
                <c:formatCode>#,##0.00</c:formatCode>
                <c:ptCount val="4"/>
                <c:pt idx="0">
                  <c:v>364.20000000000005</c:v>
                </c:pt>
                <c:pt idx="1">
                  <c:v>510.84</c:v>
                </c:pt>
                <c:pt idx="2">
                  <c:v>658.3599999999999</c:v>
                </c:pt>
                <c:pt idx="3">
                  <c:v>528.81000000000006</c:v>
                </c:pt>
              </c:numCache>
            </c:numRef>
          </c:val>
          <c:smooth val="0"/>
          <c:extLst>
            <c:ext xmlns:c16="http://schemas.microsoft.com/office/drawing/2014/chart" uri="{C3380CC4-5D6E-409C-BE32-E72D297353CC}">
              <c16:uniqueId val="{00000001-7C60-4CB7-A2F5-5A537C98567A}"/>
            </c:ext>
          </c:extLst>
        </c:ser>
        <c:ser>
          <c:idx val="2"/>
          <c:order val="2"/>
          <c:tx>
            <c:strRef>
              <c:f>Cuadros!$B$36</c:f>
              <c:strCache>
                <c:ptCount val="1"/>
                <c:pt idx="0">
                  <c:v>CC.CC</c:v>
                </c:pt>
              </c:strCache>
            </c:strRef>
          </c:tx>
          <c:spPr>
            <a:ln w="28575" cap="rnd">
              <a:solidFill>
                <a:schemeClr val="accent3"/>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Cuadros!$C$36:$F$36</c:f>
              <c:numCache>
                <c:formatCode>#,##0.00</c:formatCode>
                <c:ptCount val="4"/>
                <c:pt idx="0">
                  <c:v>0</c:v>
                </c:pt>
                <c:pt idx="1">
                  <c:v>0</c:v>
                </c:pt>
                <c:pt idx="2">
                  <c:v>0</c:v>
                </c:pt>
                <c:pt idx="3">
                  <c:v>0</c:v>
                </c:pt>
              </c:numCache>
            </c:numRef>
          </c:val>
          <c:smooth val="0"/>
          <c:extLst>
            <c:ext xmlns:c16="http://schemas.microsoft.com/office/drawing/2014/chart" uri="{C3380CC4-5D6E-409C-BE32-E72D297353CC}">
              <c16:uniqueId val="{00000002-7C60-4CB7-A2F5-5A537C98567A}"/>
            </c:ext>
          </c:extLst>
        </c:ser>
        <c:ser>
          <c:idx val="3"/>
          <c:order val="3"/>
          <c:tx>
            <c:strRef>
              <c:f>Cuadros!$B$37</c:f>
              <c:strCache>
                <c:ptCount val="1"/>
                <c:pt idx="0">
                  <c:v>CCNN</c:v>
                </c:pt>
              </c:strCache>
            </c:strRef>
          </c:tx>
          <c:spPr>
            <a:ln w="28575" cap="rnd">
              <a:solidFill>
                <a:schemeClr val="accent4"/>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Cuadros!$C$37:$F$37</c:f>
              <c:numCache>
                <c:formatCode>#,##0.00</c:formatCode>
                <c:ptCount val="4"/>
                <c:pt idx="0">
                  <c:v>1684.65</c:v>
                </c:pt>
                <c:pt idx="1">
                  <c:v>2755.01</c:v>
                </c:pt>
                <c:pt idx="2">
                  <c:v>4217.0700000000006</c:v>
                </c:pt>
                <c:pt idx="3">
                  <c:v>12377.220000000001</c:v>
                </c:pt>
              </c:numCache>
            </c:numRef>
          </c:val>
          <c:smooth val="0"/>
          <c:extLst>
            <c:ext xmlns:c16="http://schemas.microsoft.com/office/drawing/2014/chart" uri="{C3380CC4-5D6E-409C-BE32-E72D297353CC}">
              <c16:uniqueId val="{00000003-7C60-4CB7-A2F5-5A537C98567A}"/>
            </c:ext>
          </c:extLst>
        </c:ser>
        <c:ser>
          <c:idx val="4"/>
          <c:order val="4"/>
          <c:tx>
            <c:strRef>
              <c:f>Cuadros!$B$38</c:f>
              <c:strCache>
                <c:ptCount val="1"/>
                <c:pt idx="0">
                  <c:v>Predios rurales</c:v>
                </c:pt>
              </c:strCache>
            </c:strRef>
          </c:tx>
          <c:spPr>
            <a:ln w="28575" cap="rnd">
              <a:solidFill>
                <a:schemeClr val="accent5"/>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Cuadros!$C$38:$F$38</c:f>
              <c:numCache>
                <c:formatCode>#,##0.00</c:formatCode>
                <c:ptCount val="4"/>
                <c:pt idx="0">
                  <c:v>7077.72</c:v>
                </c:pt>
                <c:pt idx="1">
                  <c:v>8420.1</c:v>
                </c:pt>
                <c:pt idx="2">
                  <c:v>10451.040000000001</c:v>
                </c:pt>
                <c:pt idx="3">
                  <c:v>12748.4</c:v>
                </c:pt>
              </c:numCache>
            </c:numRef>
          </c:val>
          <c:smooth val="0"/>
          <c:extLst>
            <c:ext xmlns:c16="http://schemas.microsoft.com/office/drawing/2014/chart" uri="{C3380CC4-5D6E-409C-BE32-E72D297353CC}">
              <c16:uniqueId val="{00000004-7C60-4CB7-A2F5-5A537C98567A}"/>
            </c:ext>
          </c:extLst>
        </c:ser>
        <c:ser>
          <c:idx val="5"/>
          <c:order val="5"/>
          <c:tx>
            <c:strRef>
              <c:f>Cuadros!$B$39</c:f>
              <c:strCache>
                <c:ptCount val="1"/>
                <c:pt idx="0">
                  <c:v>ANPs</c:v>
                </c:pt>
              </c:strCache>
            </c:strRef>
          </c:tx>
          <c:spPr>
            <a:ln w="28575" cap="rnd">
              <a:solidFill>
                <a:schemeClr val="accent6"/>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Cuadros!$C$39:$F$39</c:f>
              <c:numCache>
                <c:formatCode>#,##0.00</c:formatCode>
                <c:ptCount val="4"/>
                <c:pt idx="0">
                  <c:v>46.589999999999996</c:v>
                </c:pt>
                <c:pt idx="1">
                  <c:v>123.41000000000001</c:v>
                </c:pt>
                <c:pt idx="2">
                  <c:v>140.59</c:v>
                </c:pt>
                <c:pt idx="3">
                  <c:v>194.36999999999998</c:v>
                </c:pt>
              </c:numCache>
            </c:numRef>
          </c:val>
          <c:smooth val="0"/>
          <c:extLst>
            <c:ext xmlns:c16="http://schemas.microsoft.com/office/drawing/2014/chart" uri="{C3380CC4-5D6E-409C-BE32-E72D297353CC}">
              <c16:uniqueId val="{00000005-7C60-4CB7-A2F5-5A537C98567A}"/>
            </c:ext>
          </c:extLst>
        </c:ser>
        <c:ser>
          <c:idx val="6"/>
          <c:order val="6"/>
          <c:tx>
            <c:strRef>
              <c:f>Cuadros!$B$40</c:f>
              <c:strCache>
                <c:ptCount val="1"/>
                <c:pt idx="0">
                  <c:v>CC Mineras</c:v>
                </c:pt>
              </c:strCache>
            </c:strRef>
          </c:tx>
          <c:spPr>
            <a:ln w="28575" cap="rnd">
              <a:solidFill>
                <a:schemeClr val="accent1">
                  <a:lumMod val="60000"/>
                </a:schemeClr>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Cuadros!$C$40:$F$40</c:f>
              <c:numCache>
                <c:formatCode>#,##0.00</c:formatCode>
                <c:ptCount val="4"/>
                <c:pt idx="0">
                  <c:v>280.51000000000005</c:v>
                </c:pt>
                <c:pt idx="1">
                  <c:v>389.37</c:v>
                </c:pt>
                <c:pt idx="2">
                  <c:v>486.04000000000008</c:v>
                </c:pt>
                <c:pt idx="3">
                  <c:v>751.5</c:v>
                </c:pt>
              </c:numCache>
            </c:numRef>
          </c:val>
          <c:smooth val="0"/>
          <c:extLst>
            <c:ext xmlns:c16="http://schemas.microsoft.com/office/drawing/2014/chart" uri="{C3380CC4-5D6E-409C-BE32-E72D297353CC}">
              <c16:uniqueId val="{00000006-7C60-4CB7-A2F5-5A537C98567A}"/>
            </c:ext>
          </c:extLst>
        </c:ser>
        <c:ser>
          <c:idx val="7"/>
          <c:order val="7"/>
          <c:tx>
            <c:strRef>
              <c:f>Cuadros!$B$41</c:f>
              <c:strCache>
                <c:ptCount val="1"/>
                <c:pt idx="0">
                  <c:v>Libre disp. del Estado.</c:v>
                </c:pt>
              </c:strCache>
            </c:strRef>
          </c:tx>
          <c:spPr>
            <a:ln w="28575" cap="rnd">
              <a:solidFill>
                <a:schemeClr val="accent2">
                  <a:lumMod val="60000"/>
                </a:schemeClr>
              </a:solidFill>
              <a:round/>
            </a:ln>
            <a:effectLst/>
          </c:spPr>
          <c:marker>
            <c:symbol val="none"/>
          </c:marker>
          <c:cat>
            <c:strRef>
              <c:f>Cuadros!$C$33:$F$33</c:f>
              <c:strCache>
                <c:ptCount val="4"/>
                <c:pt idx="0">
                  <c:v>2001 - 2004</c:v>
                </c:pt>
                <c:pt idx="1">
                  <c:v>2005 - 2008</c:v>
                </c:pt>
                <c:pt idx="2">
                  <c:v>2009 - 2012</c:v>
                </c:pt>
                <c:pt idx="3">
                  <c:v>2013 - 2018</c:v>
                </c:pt>
              </c:strCache>
            </c:strRef>
          </c:cat>
          <c:val>
            <c:numRef>
              <c:f>Cuadros!$C$41:$F$41</c:f>
              <c:numCache>
                <c:formatCode>#,##0.00</c:formatCode>
                <c:ptCount val="4"/>
                <c:pt idx="0">
                  <c:v>17146.540000000005</c:v>
                </c:pt>
                <c:pt idx="1">
                  <c:v>27787.319999999996</c:v>
                </c:pt>
                <c:pt idx="2">
                  <c:v>37064.74</c:v>
                </c:pt>
                <c:pt idx="3">
                  <c:v>45015.22</c:v>
                </c:pt>
              </c:numCache>
            </c:numRef>
          </c:val>
          <c:smooth val="0"/>
          <c:extLst>
            <c:ext xmlns:c16="http://schemas.microsoft.com/office/drawing/2014/chart" uri="{C3380CC4-5D6E-409C-BE32-E72D297353CC}">
              <c16:uniqueId val="{00000007-7C60-4CB7-A2F5-5A537C98567A}"/>
            </c:ext>
          </c:extLst>
        </c:ser>
        <c:dLbls>
          <c:showLegendKey val="0"/>
          <c:showVal val="0"/>
          <c:showCatName val="0"/>
          <c:showSerName val="0"/>
          <c:showPercent val="0"/>
          <c:showBubbleSize val="0"/>
        </c:dLbls>
        <c:smooth val="0"/>
        <c:axId val="-1318013248"/>
        <c:axId val="-1318005088"/>
      </c:lineChart>
      <c:catAx>
        <c:axId val="-131801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05088"/>
        <c:crosses val="autoZero"/>
        <c:auto val="1"/>
        <c:lblAlgn val="ctr"/>
        <c:lblOffset val="100"/>
        <c:noMultiLvlLbl val="0"/>
      </c:catAx>
      <c:valAx>
        <c:axId val="-1318005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13248"/>
        <c:crosses val="autoZero"/>
        <c:crossBetween val="between"/>
      </c:valAx>
      <c:spPr>
        <a:noFill/>
        <a:ln>
          <a:noFill/>
        </a:ln>
        <a:effectLst/>
      </c:spPr>
    </c:plotArea>
    <c:legend>
      <c:legendPos val="b"/>
      <c:layout>
        <c:manualLayout>
          <c:xMode val="edge"/>
          <c:yMode val="edge"/>
          <c:x val="9.0462555816886656E-3"/>
          <c:y val="0.8967982994521122"/>
          <c:w val="0.98407182056788356"/>
          <c:h val="0.1032017005478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8751935170851"/>
          <c:y val="3.3501187465930893E-2"/>
          <c:w val="0.88776064621743545"/>
          <c:h val="0.66865738306042033"/>
        </c:manualLayout>
      </c:layout>
      <c:lineChart>
        <c:grouping val="standard"/>
        <c:varyColors val="0"/>
        <c:ser>
          <c:idx val="0"/>
          <c:order val="0"/>
          <c:tx>
            <c:strRef>
              <c:f>Cuadros!$B$55</c:f>
              <c:strCache>
                <c:ptCount val="1"/>
                <c:pt idx="0">
                  <c:v>BPP</c:v>
                </c:pt>
              </c:strCache>
            </c:strRef>
          </c:tx>
          <c:spPr>
            <a:ln w="28575" cap="rnd">
              <a:solidFill>
                <a:schemeClr val="accent1"/>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Cuadros!$C$55:$F$55</c:f>
              <c:numCache>
                <c:formatCode>#,##0.00</c:formatCode>
                <c:ptCount val="4"/>
                <c:pt idx="0">
                  <c:v>2496.5900000000011</c:v>
                </c:pt>
                <c:pt idx="1">
                  <c:v>3098.5499999999997</c:v>
                </c:pt>
                <c:pt idx="2">
                  <c:v>3899.6000000000004</c:v>
                </c:pt>
                <c:pt idx="3">
                  <c:v>5798.8099999999986</c:v>
                </c:pt>
              </c:numCache>
            </c:numRef>
          </c:val>
          <c:smooth val="0"/>
          <c:extLst>
            <c:ext xmlns:c16="http://schemas.microsoft.com/office/drawing/2014/chart" uri="{C3380CC4-5D6E-409C-BE32-E72D297353CC}">
              <c16:uniqueId val="{00000000-DA5E-43A0-AD3B-A35B4A5DE7D9}"/>
            </c:ext>
          </c:extLst>
        </c:ser>
        <c:ser>
          <c:idx val="1"/>
          <c:order val="1"/>
          <c:tx>
            <c:strRef>
              <c:f>Cuadros!$B$56</c:f>
              <c:strCache>
                <c:ptCount val="1"/>
                <c:pt idx="0">
                  <c:v>CC Forestales</c:v>
                </c:pt>
              </c:strCache>
            </c:strRef>
          </c:tx>
          <c:spPr>
            <a:ln w="28575" cap="rnd">
              <a:solidFill>
                <a:schemeClr val="accent2"/>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Cuadros!$C$56:$F$56</c:f>
              <c:numCache>
                <c:formatCode>#,##0.00</c:formatCode>
                <c:ptCount val="4"/>
                <c:pt idx="0">
                  <c:v>10.620000000000001</c:v>
                </c:pt>
                <c:pt idx="1">
                  <c:v>21.2</c:v>
                </c:pt>
                <c:pt idx="2">
                  <c:v>22.329999999999995</c:v>
                </c:pt>
                <c:pt idx="3">
                  <c:v>47.760000000000005</c:v>
                </c:pt>
              </c:numCache>
            </c:numRef>
          </c:val>
          <c:smooth val="0"/>
          <c:extLst>
            <c:ext xmlns:c16="http://schemas.microsoft.com/office/drawing/2014/chart" uri="{C3380CC4-5D6E-409C-BE32-E72D297353CC}">
              <c16:uniqueId val="{00000001-DA5E-43A0-AD3B-A35B4A5DE7D9}"/>
            </c:ext>
          </c:extLst>
        </c:ser>
        <c:ser>
          <c:idx val="2"/>
          <c:order val="2"/>
          <c:tx>
            <c:strRef>
              <c:f>Cuadros!$B$57</c:f>
              <c:strCache>
                <c:ptCount val="1"/>
                <c:pt idx="0">
                  <c:v>CC.CC</c:v>
                </c:pt>
              </c:strCache>
            </c:strRef>
          </c:tx>
          <c:spPr>
            <a:ln w="28575" cap="rnd">
              <a:solidFill>
                <a:schemeClr val="accent3"/>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Cuadros!$C$57:$F$57</c:f>
              <c:numCache>
                <c:formatCode>#,##0.00</c:formatCode>
                <c:ptCount val="4"/>
                <c:pt idx="0">
                  <c:v>0.74</c:v>
                </c:pt>
                <c:pt idx="1">
                  <c:v>0</c:v>
                </c:pt>
                <c:pt idx="2">
                  <c:v>0.09</c:v>
                </c:pt>
                <c:pt idx="3">
                  <c:v>0.56000000000000005</c:v>
                </c:pt>
              </c:numCache>
            </c:numRef>
          </c:val>
          <c:smooth val="0"/>
          <c:extLst>
            <c:ext xmlns:c16="http://schemas.microsoft.com/office/drawing/2014/chart" uri="{C3380CC4-5D6E-409C-BE32-E72D297353CC}">
              <c16:uniqueId val="{00000002-DA5E-43A0-AD3B-A35B4A5DE7D9}"/>
            </c:ext>
          </c:extLst>
        </c:ser>
        <c:ser>
          <c:idx val="3"/>
          <c:order val="3"/>
          <c:tx>
            <c:strRef>
              <c:f>Cuadros!#REF!</c:f>
              <c:strCache>
                <c:ptCount val="1"/>
                <c:pt idx="0">
                  <c:v>#REF!</c:v>
                </c:pt>
              </c:strCache>
            </c:strRef>
          </c:tx>
          <c:spPr>
            <a:ln w="28575" cap="rnd">
              <a:solidFill>
                <a:schemeClr val="accent4"/>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Cuadros!#REF!</c:f>
              <c:numCache>
                <c:formatCode>General</c:formatCode>
                <c:ptCount val="1"/>
                <c:pt idx="0">
                  <c:v>1</c:v>
                </c:pt>
              </c:numCache>
            </c:numRef>
          </c:val>
          <c:smooth val="0"/>
          <c:extLst>
            <c:ext xmlns:c16="http://schemas.microsoft.com/office/drawing/2014/chart" uri="{C3380CC4-5D6E-409C-BE32-E72D297353CC}">
              <c16:uniqueId val="{00000003-DA5E-43A0-AD3B-A35B4A5DE7D9}"/>
            </c:ext>
          </c:extLst>
        </c:ser>
        <c:ser>
          <c:idx val="4"/>
          <c:order val="4"/>
          <c:tx>
            <c:strRef>
              <c:f>Cuadros!$B$58</c:f>
              <c:strCache>
                <c:ptCount val="1"/>
                <c:pt idx="0">
                  <c:v>Predios rurales</c:v>
                </c:pt>
              </c:strCache>
            </c:strRef>
          </c:tx>
          <c:spPr>
            <a:ln w="28575" cap="rnd">
              <a:solidFill>
                <a:schemeClr val="accent5"/>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Cuadros!$C$58:$F$58</c:f>
              <c:numCache>
                <c:formatCode>#,##0.00</c:formatCode>
                <c:ptCount val="4"/>
                <c:pt idx="0">
                  <c:v>1084.26</c:v>
                </c:pt>
                <c:pt idx="1">
                  <c:v>1048.5699999999997</c:v>
                </c:pt>
                <c:pt idx="2">
                  <c:v>1115.23</c:v>
                </c:pt>
                <c:pt idx="3">
                  <c:v>1956.0099999999998</c:v>
                </c:pt>
              </c:numCache>
            </c:numRef>
          </c:val>
          <c:smooth val="0"/>
          <c:extLst>
            <c:ext xmlns:c16="http://schemas.microsoft.com/office/drawing/2014/chart" uri="{C3380CC4-5D6E-409C-BE32-E72D297353CC}">
              <c16:uniqueId val="{00000004-DA5E-43A0-AD3B-A35B4A5DE7D9}"/>
            </c:ext>
          </c:extLst>
        </c:ser>
        <c:ser>
          <c:idx val="5"/>
          <c:order val="5"/>
          <c:tx>
            <c:strRef>
              <c:f>Cuadros!$B$59</c:f>
              <c:strCache>
                <c:ptCount val="1"/>
                <c:pt idx="0">
                  <c:v>ANPs</c:v>
                </c:pt>
              </c:strCache>
            </c:strRef>
          </c:tx>
          <c:spPr>
            <a:ln w="28575" cap="rnd">
              <a:solidFill>
                <a:schemeClr val="accent6"/>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Cuadros!$C$59:$F$59</c:f>
              <c:numCache>
                <c:formatCode>#,##0.00</c:formatCode>
                <c:ptCount val="4"/>
                <c:pt idx="0">
                  <c:v>24.98</c:v>
                </c:pt>
                <c:pt idx="1">
                  <c:v>39.4</c:v>
                </c:pt>
                <c:pt idx="2">
                  <c:v>170.82</c:v>
                </c:pt>
                <c:pt idx="3">
                  <c:v>218.42000000000004</c:v>
                </c:pt>
              </c:numCache>
            </c:numRef>
          </c:val>
          <c:smooth val="0"/>
          <c:extLst>
            <c:ext xmlns:c16="http://schemas.microsoft.com/office/drawing/2014/chart" uri="{C3380CC4-5D6E-409C-BE32-E72D297353CC}">
              <c16:uniqueId val="{00000005-DA5E-43A0-AD3B-A35B4A5DE7D9}"/>
            </c:ext>
          </c:extLst>
        </c:ser>
        <c:ser>
          <c:idx val="6"/>
          <c:order val="6"/>
          <c:tx>
            <c:strRef>
              <c:f>Cuadros!$B$60</c:f>
              <c:strCache>
                <c:ptCount val="1"/>
                <c:pt idx="0">
                  <c:v>CC Mineras</c:v>
                </c:pt>
              </c:strCache>
            </c:strRef>
          </c:tx>
          <c:spPr>
            <a:ln w="28575" cap="rnd">
              <a:solidFill>
                <a:schemeClr val="accent1">
                  <a:lumMod val="60000"/>
                </a:schemeClr>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Cuadros!$C$60:$F$60</c:f>
              <c:numCache>
                <c:formatCode>#,##0.00</c:formatCode>
                <c:ptCount val="4"/>
                <c:pt idx="0">
                  <c:v>113.58999999999997</c:v>
                </c:pt>
                <c:pt idx="1">
                  <c:v>132.41999999999999</c:v>
                </c:pt>
                <c:pt idx="2">
                  <c:v>108.89000000000004</c:v>
                </c:pt>
                <c:pt idx="3">
                  <c:v>313.67</c:v>
                </c:pt>
              </c:numCache>
            </c:numRef>
          </c:val>
          <c:smooth val="0"/>
          <c:extLst>
            <c:ext xmlns:c16="http://schemas.microsoft.com/office/drawing/2014/chart" uri="{C3380CC4-5D6E-409C-BE32-E72D297353CC}">
              <c16:uniqueId val="{00000006-DA5E-43A0-AD3B-A35B4A5DE7D9}"/>
            </c:ext>
          </c:extLst>
        </c:ser>
        <c:ser>
          <c:idx val="7"/>
          <c:order val="7"/>
          <c:tx>
            <c:strRef>
              <c:f>Cuadros!$B$61</c:f>
              <c:strCache>
                <c:ptCount val="1"/>
                <c:pt idx="0">
                  <c:v>Libre disp. del Estado.</c:v>
                </c:pt>
              </c:strCache>
            </c:strRef>
          </c:tx>
          <c:spPr>
            <a:ln w="28575" cap="rnd">
              <a:solidFill>
                <a:schemeClr val="accent2">
                  <a:lumMod val="60000"/>
                </a:schemeClr>
              </a:solidFill>
              <a:round/>
            </a:ln>
            <a:effectLst/>
          </c:spPr>
          <c:marker>
            <c:symbol val="none"/>
          </c:marker>
          <c:cat>
            <c:strRef>
              <c:f>Cuadros!$C$54:$F$54</c:f>
              <c:strCache>
                <c:ptCount val="4"/>
                <c:pt idx="0">
                  <c:v>2001 - 2004</c:v>
                </c:pt>
                <c:pt idx="1">
                  <c:v>2005 - 2008</c:v>
                </c:pt>
                <c:pt idx="2">
                  <c:v>2009 - 2012</c:v>
                </c:pt>
                <c:pt idx="3">
                  <c:v>2013 - 2018</c:v>
                </c:pt>
              </c:strCache>
            </c:strRef>
          </c:cat>
          <c:val>
            <c:numRef>
              <c:f>Cuadros!$C$61:$F$61</c:f>
              <c:numCache>
                <c:formatCode>#,##0.00</c:formatCode>
                <c:ptCount val="4"/>
                <c:pt idx="0">
                  <c:v>1802.5299999999995</c:v>
                </c:pt>
                <c:pt idx="1">
                  <c:v>2160.9399999999996</c:v>
                </c:pt>
                <c:pt idx="2">
                  <c:v>2065.44</c:v>
                </c:pt>
                <c:pt idx="3">
                  <c:v>4057.78</c:v>
                </c:pt>
              </c:numCache>
            </c:numRef>
          </c:val>
          <c:smooth val="0"/>
          <c:extLst>
            <c:ext xmlns:c16="http://schemas.microsoft.com/office/drawing/2014/chart" uri="{C3380CC4-5D6E-409C-BE32-E72D297353CC}">
              <c16:uniqueId val="{00000007-DA5E-43A0-AD3B-A35B4A5DE7D9}"/>
            </c:ext>
          </c:extLst>
        </c:ser>
        <c:dLbls>
          <c:showLegendKey val="0"/>
          <c:showVal val="0"/>
          <c:showCatName val="0"/>
          <c:showSerName val="0"/>
          <c:showPercent val="0"/>
          <c:showBubbleSize val="0"/>
        </c:dLbls>
        <c:smooth val="0"/>
        <c:axId val="-1318026304"/>
        <c:axId val="-1318003456"/>
      </c:lineChart>
      <c:catAx>
        <c:axId val="-131802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03456"/>
        <c:crosses val="autoZero"/>
        <c:auto val="1"/>
        <c:lblAlgn val="ctr"/>
        <c:lblOffset val="100"/>
        <c:noMultiLvlLbl val="0"/>
      </c:catAx>
      <c:valAx>
        <c:axId val="-1318003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318026304"/>
        <c:crosses val="autoZero"/>
        <c:crossBetween val="between"/>
      </c:valAx>
      <c:spPr>
        <a:noFill/>
        <a:ln>
          <a:noFill/>
        </a:ln>
        <a:effectLst/>
      </c:spPr>
    </c:plotArea>
    <c:legend>
      <c:legendPos val="b"/>
      <c:legendEntry>
        <c:idx val="3"/>
        <c:delete val="1"/>
      </c:legendEntry>
      <c:layout>
        <c:manualLayout>
          <c:xMode val="edge"/>
          <c:yMode val="edge"/>
          <c:x val="0"/>
          <c:y val="0.84674989734242956"/>
          <c:w val="0.99633391604506649"/>
          <c:h val="0.153250102657570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GMHjSaJbYKs9/FbIrkOWcRK95A==">AMUW2mVqfBfpmtpeUKjOKMWIcDDcdNgGaYiey4kMTswv4LfWIaDV6VCh6pW5BN1L7LtbvO+YlP5bZw77DyBs/UZ9lmGJ1FU1KeaSfSorMsIFKcZQlEJuhasFqm8ROHn1aOaukQmfVGUA5MODzBWncEglDtNO6eSjBgOmWPXPeJKBWioex7BJ+W5IwPl+PpQJM3O/i5FCmxvqx3cNwbFuzfHqFZank5zRPYS6+DlJ4XIfVnHjMI/9kOKlKc/nea8u2+9Qi9C2btcAk2nkoJoByN99OCTwzI3enBIQa39udfqPT3QycHA5wHBF4xhpCTcJPZTuMqWGTYnRS8Rw1ecHYyLYVY53wTJo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7D1864-0F9A-4DE9-8115-A89B51FC7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23986</Words>
  <Characters>131927</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A. Muñoz C.</dc:creator>
  <cp:lastModifiedBy>Lilian Lucia Chavez Figueroa</cp:lastModifiedBy>
  <cp:revision>3</cp:revision>
  <dcterms:created xsi:type="dcterms:W3CDTF">2020-05-27T20:13:00Z</dcterms:created>
  <dcterms:modified xsi:type="dcterms:W3CDTF">2020-05-27T20:13:00Z</dcterms:modified>
</cp:coreProperties>
</file>